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66721" w14:textId="77777777" w:rsidR="00B1452C" w:rsidRDefault="00B1452C">
      <w:pPr>
        <w:pBdr>
          <w:top w:val="nil"/>
          <w:left w:val="nil"/>
          <w:bottom w:val="nil"/>
          <w:right w:val="nil"/>
          <w:between w:val="nil"/>
        </w:pBdr>
        <w:jc w:val="right"/>
        <w:rPr>
          <w:rFonts w:ascii="Calibri" w:eastAsia="Calibri" w:hAnsi="Calibri" w:cs="Calibri"/>
          <w:color w:val="000000"/>
          <w:sz w:val="22"/>
          <w:szCs w:val="22"/>
        </w:rPr>
      </w:pPr>
      <w:bookmarkStart w:id="0" w:name="_gjdgxs" w:colFirst="0" w:colLast="0"/>
      <w:bookmarkEnd w:id="0"/>
    </w:p>
    <w:p w14:paraId="6C3B2325" w14:textId="77777777" w:rsidR="00B1452C" w:rsidRPr="00874F7A" w:rsidRDefault="0082023E">
      <w:pPr>
        <w:pBdr>
          <w:top w:val="nil"/>
          <w:left w:val="nil"/>
          <w:bottom w:val="nil"/>
          <w:right w:val="nil"/>
          <w:between w:val="nil"/>
        </w:pBdr>
        <w:rPr>
          <w:rFonts w:asciiTheme="majorHAnsi" w:eastAsia="Calibri" w:hAnsiTheme="majorHAnsi" w:cstheme="majorHAnsi"/>
          <w:color w:val="000000"/>
          <w:sz w:val="22"/>
          <w:szCs w:val="22"/>
        </w:rPr>
      </w:pPr>
      <w:r w:rsidRPr="00874F7A">
        <w:rPr>
          <w:rFonts w:asciiTheme="majorHAnsi" w:eastAsia="Calibri" w:hAnsiTheme="majorHAnsi" w:cstheme="majorHAnsi"/>
          <w:b/>
          <w:color w:val="000000"/>
          <w:sz w:val="22"/>
          <w:szCs w:val="22"/>
        </w:rPr>
        <w:t>Národní památkový ústav,</w:t>
      </w:r>
      <w:r w:rsidRPr="00874F7A">
        <w:rPr>
          <w:rFonts w:asciiTheme="majorHAnsi" w:eastAsia="Calibri" w:hAnsiTheme="majorHAnsi" w:cstheme="majorHAnsi"/>
          <w:color w:val="000000"/>
          <w:sz w:val="22"/>
          <w:szCs w:val="22"/>
        </w:rPr>
        <w:t xml:space="preserve"> státní příspěvková organizace</w:t>
      </w:r>
    </w:p>
    <w:p w14:paraId="560C94E5"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IČ: 75032333 DIČ: CZ75032333</w:t>
      </w:r>
    </w:p>
    <w:p w14:paraId="3BB8E7C3"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se sídlem Valdštejnské náměstí 16213,1 18 01 Praha 1 - Malá Strana</w:t>
      </w:r>
    </w:p>
    <w:p w14:paraId="3FA0041F"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jednající generální ředitelkou lng. arch. Naděždou Goryczkovou</w:t>
      </w:r>
    </w:p>
    <w:p w14:paraId="78CB02C2"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kterou zastupuje:</w:t>
      </w:r>
    </w:p>
    <w:p w14:paraId="1F35C317"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Územní památková správa v Kroměříži</w:t>
      </w:r>
    </w:p>
    <w:p w14:paraId="6C8A1182"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se sídlem Sněmovní nám. 1, 767 01 Kroměříž</w:t>
      </w:r>
    </w:p>
    <w:p w14:paraId="07CEA55C" w14:textId="77777777" w:rsidR="00874F7A" w:rsidRPr="00874F7A" w:rsidRDefault="00874F7A" w:rsidP="00874F7A">
      <w:pPr>
        <w:rPr>
          <w:rFonts w:asciiTheme="majorHAnsi" w:hAnsiTheme="majorHAnsi" w:cstheme="majorHAnsi"/>
          <w:b/>
          <w:sz w:val="22"/>
          <w:szCs w:val="22"/>
        </w:rPr>
      </w:pPr>
      <w:r w:rsidRPr="00874F7A">
        <w:rPr>
          <w:rFonts w:asciiTheme="majorHAnsi" w:hAnsiTheme="majorHAnsi" w:cstheme="majorHAnsi"/>
          <w:b/>
          <w:sz w:val="22"/>
          <w:szCs w:val="22"/>
        </w:rPr>
        <w:t>jednající ředitelem Ing. Petrem Šubíkem</w:t>
      </w:r>
    </w:p>
    <w:p w14:paraId="1DAA7B16"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osoba pro věcná jednání: Mgr. Zdeňka Kalová, kastelánka SZ Rájec</w:t>
      </w:r>
    </w:p>
    <w:p w14:paraId="3040CB77"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 xml:space="preserve">Bankovní spojení: ČNB, pobočka Praha  </w:t>
      </w:r>
    </w:p>
    <w:p w14:paraId="40CA7137"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Č. účtu: 500005-60039011/0710</w:t>
      </w:r>
    </w:p>
    <w:p w14:paraId="316634C8" w14:textId="77777777" w:rsidR="00874F7A" w:rsidRPr="00874F7A" w:rsidRDefault="00874F7A" w:rsidP="00874F7A">
      <w:pPr>
        <w:rPr>
          <w:rFonts w:asciiTheme="majorHAnsi" w:hAnsiTheme="majorHAnsi" w:cstheme="majorHAnsi"/>
          <w:sz w:val="22"/>
          <w:szCs w:val="22"/>
        </w:rPr>
      </w:pPr>
    </w:p>
    <w:p w14:paraId="3903A26A" w14:textId="77777777" w:rsidR="00874F7A" w:rsidRPr="00874F7A" w:rsidRDefault="00874F7A" w:rsidP="00874F7A">
      <w:pPr>
        <w:rPr>
          <w:rFonts w:asciiTheme="majorHAnsi" w:hAnsiTheme="majorHAnsi" w:cstheme="majorHAnsi"/>
          <w:b/>
          <w:i/>
          <w:sz w:val="22"/>
          <w:szCs w:val="22"/>
        </w:rPr>
      </w:pPr>
      <w:r w:rsidRPr="00874F7A">
        <w:rPr>
          <w:rFonts w:asciiTheme="majorHAnsi" w:hAnsiTheme="majorHAnsi" w:cstheme="majorHAnsi"/>
          <w:b/>
          <w:i/>
          <w:sz w:val="22"/>
          <w:szCs w:val="22"/>
        </w:rPr>
        <w:t>Doručovací adresa:</w:t>
      </w:r>
    </w:p>
    <w:p w14:paraId="5B7A9A77"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Státní zámek Rájec n. Svitavou</w:t>
      </w:r>
    </w:p>
    <w:p w14:paraId="0984BEE5"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adresa: Blanenská 1, 67902 Rájec-Jestřebí</w:t>
      </w:r>
    </w:p>
    <w:p w14:paraId="449C0DBD" w14:textId="77777777" w:rsidR="00874F7A" w:rsidRPr="00874F7A" w:rsidRDefault="00874F7A" w:rsidP="00874F7A">
      <w:pPr>
        <w:rPr>
          <w:rFonts w:asciiTheme="majorHAnsi" w:hAnsiTheme="majorHAnsi" w:cstheme="majorHAnsi"/>
          <w:sz w:val="22"/>
          <w:szCs w:val="22"/>
        </w:rPr>
      </w:pPr>
      <w:r w:rsidRPr="00874F7A">
        <w:rPr>
          <w:rFonts w:asciiTheme="majorHAnsi" w:hAnsiTheme="majorHAnsi" w:cstheme="majorHAnsi"/>
          <w:sz w:val="22"/>
          <w:szCs w:val="22"/>
        </w:rPr>
        <w:t xml:space="preserve">tel.: +420 725007229, e-mail: kalova.zdenka@npu.cz </w:t>
      </w:r>
    </w:p>
    <w:p w14:paraId="646A5D7E" w14:textId="77777777" w:rsidR="00B1452C" w:rsidRPr="00874F7A" w:rsidRDefault="0082023E">
      <w:pPr>
        <w:pBdr>
          <w:top w:val="nil"/>
          <w:left w:val="nil"/>
          <w:bottom w:val="nil"/>
          <w:right w:val="nil"/>
          <w:between w:val="nil"/>
        </w:pBdr>
        <w:rPr>
          <w:rFonts w:asciiTheme="majorHAnsi" w:eastAsia="Calibri" w:hAnsiTheme="majorHAnsi" w:cstheme="majorHAnsi"/>
          <w:color w:val="000000"/>
          <w:sz w:val="22"/>
          <w:szCs w:val="22"/>
        </w:rPr>
      </w:pPr>
      <w:r w:rsidRPr="00874F7A">
        <w:rPr>
          <w:rFonts w:asciiTheme="majorHAnsi" w:eastAsia="Calibri" w:hAnsiTheme="majorHAnsi" w:cstheme="majorHAnsi"/>
          <w:color w:val="000000"/>
          <w:sz w:val="22"/>
          <w:szCs w:val="22"/>
        </w:rPr>
        <w:t>(dále jen „</w:t>
      </w:r>
      <w:r w:rsidRPr="00874F7A">
        <w:rPr>
          <w:rFonts w:asciiTheme="majorHAnsi" w:eastAsia="Calibri" w:hAnsiTheme="majorHAnsi" w:cstheme="majorHAnsi"/>
          <w:b/>
          <w:color w:val="000000"/>
          <w:sz w:val="22"/>
          <w:szCs w:val="22"/>
        </w:rPr>
        <w:t>pronajímatel</w:t>
      </w:r>
      <w:r w:rsidRPr="00874F7A">
        <w:rPr>
          <w:rFonts w:asciiTheme="majorHAnsi" w:eastAsia="Calibri" w:hAnsiTheme="majorHAnsi" w:cstheme="majorHAnsi"/>
          <w:color w:val="000000"/>
          <w:sz w:val="22"/>
          <w:szCs w:val="22"/>
        </w:rPr>
        <w:t>“)</w:t>
      </w:r>
    </w:p>
    <w:p w14:paraId="5F918A9B" w14:textId="77777777" w:rsidR="00B1452C" w:rsidRDefault="00B1452C">
      <w:pPr>
        <w:pBdr>
          <w:top w:val="nil"/>
          <w:left w:val="nil"/>
          <w:bottom w:val="nil"/>
          <w:right w:val="nil"/>
          <w:between w:val="nil"/>
        </w:pBdr>
        <w:rPr>
          <w:rFonts w:ascii="Calibri" w:eastAsia="Calibri" w:hAnsi="Calibri" w:cs="Calibri"/>
          <w:color w:val="000000"/>
          <w:sz w:val="22"/>
          <w:szCs w:val="22"/>
        </w:rPr>
      </w:pPr>
    </w:p>
    <w:p w14:paraId="6D7F425C" w14:textId="77777777" w:rsidR="00B1452C" w:rsidRDefault="0082023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w:t>
      </w:r>
    </w:p>
    <w:p w14:paraId="4621AC65" w14:textId="77777777" w:rsidR="00B1452C" w:rsidRDefault="00B1452C">
      <w:pPr>
        <w:pBdr>
          <w:top w:val="nil"/>
          <w:left w:val="nil"/>
          <w:bottom w:val="nil"/>
          <w:right w:val="nil"/>
          <w:between w:val="nil"/>
        </w:pBdr>
        <w:rPr>
          <w:rFonts w:ascii="Calibri" w:eastAsia="Calibri" w:hAnsi="Calibri" w:cs="Calibri"/>
          <w:color w:val="000000"/>
          <w:sz w:val="22"/>
          <w:szCs w:val="22"/>
        </w:rPr>
      </w:pPr>
    </w:p>
    <w:p w14:paraId="14DF8AF7" w14:textId="77777777" w:rsidR="00B1452C" w:rsidRPr="00657917" w:rsidRDefault="0082023E">
      <w:pPr>
        <w:pBdr>
          <w:top w:val="nil"/>
          <w:left w:val="nil"/>
          <w:bottom w:val="nil"/>
          <w:right w:val="nil"/>
          <w:between w:val="nil"/>
        </w:pBdr>
        <w:rPr>
          <w:rFonts w:ascii="Calibri" w:eastAsia="Calibri" w:hAnsi="Calibri" w:cs="Calibri"/>
          <w:color w:val="000000"/>
          <w:sz w:val="22"/>
          <w:szCs w:val="22"/>
          <w:highlight w:val="yellow"/>
        </w:rPr>
      </w:pPr>
      <w:r w:rsidRPr="00657917">
        <w:rPr>
          <w:rFonts w:ascii="Calibri" w:eastAsia="Calibri" w:hAnsi="Calibri" w:cs="Calibri"/>
          <w:b/>
          <w:color w:val="000000"/>
          <w:sz w:val="22"/>
          <w:szCs w:val="22"/>
          <w:highlight w:val="yellow"/>
        </w:rPr>
        <w:t>jméno/obchodní firma/právní forma</w:t>
      </w:r>
    </w:p>
    <w:p w14:paraId="5EE2EB43" w14:textId="77777777" w:rsidR="00B1452C" w:rsidRPr="00657917" w:rsidRDefault="0082023E">
      <w:pPr>
        <w:pBdr>
          <w:top w:val="nil"/>
          <w:left w:val="nil"/>
          <w:bottom w:val="nil"/>
          <w:right w:val="nil"/>
          <w:between w:val="nil"/>
        </w:pBdr>
        <w:rPr>
          <w:rFonts w:ascii="Calibri" w:eastAsia="Calibri" w:hAnsi="Calibri" w:cs="Calibri"/>
          <w:color w:val="000000"/>
          <w:sz w:val="22"/>
          <w:szCs w:val="22"/>
          <w:highlight w:val="yellow"/>
        </w:rPr>
      </w:pPr>
      <w:r w:rsidRPr="00657917">
        <w:rPr>
          <w:rFonts w:ascii="Calibri" w:eastAsia="Calibri" w:hAnsi="Calibri" w:cs="Calibri"/>
          <w:b/>
          <w:color w:val="000000"/>
          <w:sz w:val="22"/>
          <w:szCs w:val="22"/>
          <w:highlight w:val="yellow"/>
        </w:rPr>
        <w:t>zapsaný/á v obchodní rejstříku vedeném …, v oddíle …, vložka … (příp. údaj o zápisu v jiné evidenci)</w:t>
      </w:r>
    </w:p>
    <w:p w14:paraId="6AA91D71" w14:textId="77777777" w:rsidR="00B41581" w:rsidRPr="00657917" w:rsidRDefault="00B41581" w:rsidP="00B41581">
      <w:pPr>
        <w:pBdr>
          <w:top w:val="nil"/>
          <w:left w:val="nil"/>
          <w:bottom w:val="nil"/>
          <w:right w:val="nil"/>
          <w:between w:val="nil"/>
        </w:pBdr>
        <w:rPr>
          <w:rFonts w:ascii="Calibri" w:eastAsia="Calibri" w:hAnsi="Calibri" w:cs="Calibri"/>
          <w:color w:val="000000"/>
          <w:sz w:val="22"/>
          <w:szCs w:val="22"/>
          <w:highlight w:val="yellow"/>
        </w:rPr>
      </w:pPr>
      <w:r w:rsidRPr="00657917">
        <w:rPr>
          <w:rFonts w:ascii="Calibri" w:eastAsia="Calibri" w:hAnsi="Calibri" w:cs="Calibri"/>
          <w:color w:val="000000"/>
          <w:sz w:val="22"/>
          <w:szCs w:val="22"/>
          <w:highlight w:val="yellow"/>
        </w:rPr>
        <w:t>IČO: není-li IČ, dat. nar., DIČ:</w:t>
      </w:r>
    </w:p>
    <w:p w14:paraId="426858C2" w14:textId="564A9992" w:rsidR="00B1452C" w:rsidRDefault="0082023E">
      <w:pPr>
        <w:pBdr>
          <w:top w:val="nil"/>
          <w:left w:val="nil"/>
          <w:bottom w:val="nil"/>
          <w:right w:val="nil"/>
          <w:between w:val="nil"/>
        </w:pBdr>
        <w:rPr>
          <w:rFonts w:ascii="Calibri" w:eastAsia="Calibri" w:hAnsi="Calibri" w:cs="Calibri"/>
          <w:color w:val="000000"/>
          <w:sz w:val="22"/>
          <w:szCs w:val="22"/>
        </w:rPr>
      </w:pPr>
      <w:r w:rsidRPr="00657917">
        <w:rPr>
          <w:rFonts w:ascii="Calibri" w:eastAsia="Calibri" w:hAnsi="Calibri" w:cs="Calibri"/>
          <w:color w:val="000000"/>
          <w:sz w:val="22"/>
          <w:szCs w:val="22"/>
          <w:highlight w:val="yellow"/>
        </w:rPr>
        <w:t>se sídlem:</w:t>
      </w:r>
    </w:p>
    <w:p w14:paraId="07D36281" w14:textId="78BBC69B" w:rsidR="00B1452C" w:rsidRDefault="0082023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zastoupen: </w:t>
      </w:r>
    </w:p>
    <w:p w14:paraId="5376B5E5" w14:textId="77777777" w:rsidR="00B1452C" w:rsidRDefault="0082023E">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(dále jen „</w:t>
      </w:r>
      <w:r>
        <w:rPr>
          <w:rFonts w:ascii="Calibri" w:eastAsia="Calibri" w:hAnsi="Calibri" w:cs="Calibri"/>
          <w:b/>
          <w:color w:val="000000"/>
          <w:sz w:val="22"/>
          <w:szCs w:val="22"/>
        </w:rPr>
        <w:t>nájemce</w:t>
      </w:r>
      <w:r>
        <w:rPr>
          <w:rFonts w:ascii="Calibri" w:eastAsia="Calibri" w:hAnsi="Calibri" w:cs="Calibri"/>
          <w:color w:val="000000"/>
          <w:sz w:val="22"/>
          <w:szCs w:val="22"/>
        </w:rPr>
        <w:t>“)</w:t>
      </w:r>
    </w:p>
    <w:p w14:paraId="0C2CF387" w14:textId="77777777" w:rsidR="00B1452C" w:rsidRDefault="00B1452C">
      <w:pPr>
        <w:pBdr>
          <w:top w:val="nil"/>
          <w:left w:val="nil"/>
          <w:bottom w:val="nil"/>
          <w:right w:val="nil"/>
          <w:between w:val="nil"/>
        </w:pBdr>
        <w:rPr>
          <w:rFonts w:ascii="Calibri" w:eastAsia="Calibri" w:hAnsi="Calibri" w:cs="Calibri"/>
          <w:color w:val="000000"/>
          <w:sz w:val="22"/>
          <w:szCs w:val="22"/>
        </w:rPr>
      </w:pPr>
    </w:p>
    <w:p w14:paraId="338733A6" w14:textId="77777777" w:rsidR="00B1452C" w:rsidRDefault="0082023E">
      <w:pPr>
        <w:pBdr>
          <w:top w:val="nil"/>
          <w:left w:val="nil"/>
          <w:bottom w:val="nil"/>
          <w:right w:val="nil"/>
          <w:between w:val="nil"/>
        </w:pBdr>
        <w:jc w:val="center"/>
        <w:rPr>
          <w:rFonts w:ascii="Calibri" w:eastAsia="Calibri" w:hAnsi="Calibri" w:cs="Calibri"/>
          <w:color w:val="000000"/>
          <w:sz w:val="22"/>
          <w:szCs w:val="22"/>
        </w:rPr>
      </w:pPr>
      <w:r>
        <w:rPr>
          <w:rFonts w:ascii="Calibri" w:eastAsia="Calibri" w:hAnsi="Calibri" w:cs="Calibri"/>
          <w:color w:val="000000"/>
          <w:sz w:val="22"/>
          <w:szCs w:val="22"/>
        </w:rPr>
        <w:t>jako smluvní strany uzavřely níže uvedeného dne, měsíce a roku tuto</w:t>
      </w:r>
    </w:p>
    <w:p w14:paraId="64D52438" w14:textId="77777777" w:rsidR="00B1452C" w:rsidRPr="00874F7A" w:rsidRDefault="0082023E">
      <w:pPr>
        <w:pBdr>
          <w:top w:val="nil"/>
          <w:left w:val="nil"/>
          <w:bottom w:val="nil"/>
          <w:right w:val="nil"/>
          <w:between w:val="nil"/>
        </w:pBdr>
        <w:jc w:val="center"/>
        <w:rPr>
          <w:rFonts w:ascii="Calibri" w:eastAsia="Calibri" w:hAnsi="Calibri" w:cs="Calibri"/>
          <w:b/>
          <w:color w:val="000000"/>
          <w:sz w:val="22"/>
          <w:szCs w:val="22"/>
        </w:rPr>
      </w:pPr>
      <w:r w:rsidRPr="00F82A21">
        <w:rPr>
          <w:rFonts w:ascii="Calibri" w:eastAsia="Calibri" w:hAnsi="Calibri" w:cs="Calibri"/>
          <w:b/>
          <w:color w:val="000000"/>
          <w:sz w:val="24"/>
          <w:szCs w:val="24"/>
        </w:rPr>
        <w:t>smlouvu o nájmu prostor sloužících k podnikání:</w:t>
      </w:r>
      <w:r>
        <w:rPr>
          <w:rFonts w:ascii="Calibri" w:eastAsia="Calibri" w:hAnsi="Calibri" w:cs="Calibri"/>
          <w:b/>
          <w:color w:val="000000"/>
          <w:sz w:val="22"/>
          <w:szCs w:val="22"/>
        </w:rPr>
        <w:br/>
      </w:r>
      <w:r w:rsidRPr="00874F7A">
        <w:rPr>
          <w:rFonts w:ascii="Calibri" w:eastAsia="Calibri" w:hAnsi="Calibri" w:cs="Calibri"/>
          <w:b/>
          <w:color w:val="000000"/>
          <w:sz w:val="22"/>
          <w:szCs w:val="22"/>
        </w:rPr>
        <w:t>(dále jen „nájemní smlouva“)</w:t>
      </w:r>
    </w:p>
    <w:p w14:paraId="5FDB6C08" w14:textId="77777777" w:rsidR="00B1452C" w:rsidRPr="00874F7A" w:rsidRDefault="00B1452C">
      <w:pPr>
        <w:pBdr>
          <w:top w:val="nil"/>
          <w:left w:val="nil"/>
          <w:bottom w:val="nil"/>
          <w:right w:val="nil"/>
          <w:between w:val="nil"/>
        </w:pBdr>
        <w:jc w:val="center"/>
        <w:rPr>
          <w:rFonts w:ascii="Calibri" w:eastAsia="Calibri" w:hAnsi="Calibri" w:cs="Calibri"/>
          <w:b/>
          <w:color w:val="000000"/>
          <w:sz w:val="22"/>
          <w:szCs w:val="22"/>
        </w:rPr>
      </w:pPr>
    </w:p>
    <w:p w14:paraId="7FCC5A20" w14:textId="77777777" w:rsidR="00B1452C" w:rsidRPr="00874F7A" w:rsidRDefault="0082023E">
      <w:pPr>
        <w:keepNext/>
        <w:keepLines/>
        <w:widowControl w:val="0"/>
        <w:numPr>
          <w:ilvl w:val="0"/>
          <w:numId w:val="12"/>
        </w:numPr>
        <w:pBdr>
          <w:top w:val="nil"/>
          <w:left w:val="nil"/>
          <w:bottom w:val="nil"/>
          <w:right w:val="nil"/>
          <w:between w:val="nil"/>
        </w:pBdr>
        <w:ind w:left="652"/>
        <w:jc w:val="center"/>
        <w:rPr>
          <w:rFonts w:asciiTheme="majorHAnsi" w:eastAsia="Calibri" w:hAnsiTheme="majorHAnsi" w:cstheme="majorHAnsi"/>
          <w:b/>
          <w:color w:val="000000"/>
          <w:sz w:val="22"/>
          <w:szCs w:val="22"/>
        </w:rPr>
      </w:pPr>
      <w:r w:rsidRPr="00874F7A">
        <w:rPr>
          <w:rFonts w:ascii="Calibri" w:eastAsia="Calibri" w:hAnsi="Calibri" w:cs="Calibri"/>
          <w:b/>
          <w:color w:val="000000"/>
          <w:sz w:val="22"/>
          <w:szCs w:val="22"/>
        </w:rPr>
        <w:br/>
      </w:r>
      <w:r w:rsidRPr="00874F7A">
        <w:rPr>
          <w:rFonts w:asciiTheme="majorHAnsi" w:eastAsia="Calibri" w:hAnsiTheme="majorHAnsi" w:cstheme="majorHAnsi"/>
          <w:b/>
          <w:color w:val="000000"/>
          <w:sz w:val="22"/>
          <w:szCs w:val="22"/>
        </w:rPr>
        <w:t>Úvodní ustanovení</w:t>
      </w:r>
    </w:p>
    <w:p w14:paraId="703FA49F" w14:textId="2021BD60" w:rsidR="00B1452C" w:rsidRPr="00874F7A" w:rsidRDefault="0082023E" w:rsidP="00874F7A">
      <w:pPr>
        <w:numPr>
          <w:ilvl w:val="1"/>
          <w:numId w:val="12"/>
        </w:numPr>
        <w:pBdr>
          <w:top w:val="nil"/>
          <w:left w:val="nil"/>
          <w:bottom w:val="nil"/>
          <w:right w:val="nil"/>
          <w:between w:val="nil"/>
        </w:pBdr>
        <w:spacing w:after="60"/>
        <w:jc w:val="both"/>
        <w:rPr>
          <w:rFonts w:asciiTheme="majorHAnsi" w:eastAsia="Calibri" w:hAnsiTheme="majorHAnsi" w:cstheme="majorHAnsi"/>
          <w:color w:val="000000"/>
          <w:sz w:val="22"/>
          <w:szCs w:val="22"/>
        </w:rPr>
      </w:pPr>
      <w:bookmarkStart w:id="1" w:name="30j0zll" w:colFirst="0" w:colLast="0"/>
      <w:bookmarkEnd w:id="1"/>
      <w:r w:rsidRPr="00874F7A">
        <w:rPr>
          <w:rFonts w:asciiTheme="majorHAnsi" w:eastAsia="Calibri" w:hAnsiTheme="majorHAnsi" w:cstheme="majorHAnsi"/>
          <w:color w:val="000000"/>
          <w:sz w:val="22"/>
          <w:szCs w:val="22"/>
        </w:rPr>
        <w:t>Pronajímatel je příslušný hospodařit s nemovitostí ve vlastnictví státu:</w:t>
      </w:r>
      <w:r w:rsidR="00874F7A" w:rsidRPr="00874F7A">
        <w:rPr>
          <w:rFonts w:asciiTheme="majorHAnsi" w:eastAsia="Calibri" w:hAnsiTheme="majorHAnsi" w:cstheme="majorHAnsi"/>
          <w:color w:val="000000"/>
          <w:sz w:val="22"/>
          <w:szCs w:val="22"/>
        </w:rPr>
        <w:t xml:space="preserve"> </w:t>
      </w:r>
      <w:r w:rsidR="00874F7A" w:rsidRPr="00874F7A">
        <w:rPr>
          <w:rFonts w:asciiTheme="majorHAnsi" w:hAnsiTheme="majorHAnsi" w:cstheme="majorHAnsi"/>
          <w:sz w:val="22"/>
          <w:szCs w:val="22"/>
        </w:rPr>
        <w:t>Státní zámek Rájec nad Svitavou, Rájec [138908];</w:t>
      </w:r>
      <w:r w:rsidR="00C27FA2">
        <w:rPr>
          <w:rFonts w:asciiTheme="majorHAnsi" w:hAnsiTheme="majorHAnsi" w:cstheme="majorHAnsi"/>
          <w:sz w:val="22"/>
          <w:szCs w:val="22"/>
        </w:rPr>
        <w:t xml:space="preserve"> adresa:</w:t>
      </w:r>
      <w:r w:rsidR="00874F7A" w:rsidRPr="00874F7A">
        <w:rPr>
          <w:rFonts w:asciiTheme="majorHAnsi" w:hAnsiTheme="majorHAnsi" w:cstheme="majorHAnsi"/>
          <w:sz w:val="22"/>
          <w:szCs w:val="22"/>
        </w:rPr>
        <w:t xml:space="preserve"> č. p. 1;</w:t>
      </w:r>
      <w:r w:rsidR="00C27FA2">
        <w:rPr>
          <w:rFonts w:asciiTheme="majorHAnsi" w:hAnsiTheme="majorHAnsi" w:cstheme="majorHAnsi"/>
          <w:sz w:val="22"/>
          <w:szCs w:val="22"/>
        </w:rPr>
        <w:t xml:space="preserve"> stojící na pozemku </w:t>
      </w:r>
      <w:r w:rsidR="00874F7A" w:rsidRPr="00874F7A">
        <w:rPr>
          <w:rFonts w:asciiTheme="majorHAnsi" w:hAnsiTheme="majorHAnsi" w:cstheme="majorHAnsi"/>
          <w:sz w:val="22"/>
          <w:szCs w:val="22"/>
        </w:rPr>
        <w:t>parc. č. 1795/1, obec Rájec-Jestřebí [582239], katastrální území Rájec nad Svitavou [738905], číslo LV 206 o celkové výměře 13789 m</w:t>
      </w:r>
      <w:r w:rsidR="00874F7A" w:rsidRPr="00874F7A">
        <w:rPr>
          <w:rFonts w:asciiTheme="majorHAnsi" w:hAnsiTheme="majorHAnsi" w:cstheme="majorHAnsi"/>
          <w:sz w:val="22"/>
          <w:szCs w:val="22"/>
          <w:vertAlign w:val="superscript"/>
        </w:rPr>
        <w:t>2</w:t>
      </w:r>
      <w:r w:rsidR="00874F7A" w:rsidRPr="00874F7A">
        <w:rPr>
          <w:rFonts w:asciiTheme="majorHAnsi" w:hAnsiTheme="majorHAnsi" w:cstheme="majorHAnsi"/>
          <w:sz w:val="22"/>
          <w:szCs w:val="22"/>
        </w:rPr>
        <w:t>, v němž se 1. NP západní části jižního bočního křídla</w:t>
      </w:r>
      <w:r w:rsidR="009948E5">
        <w:rPr>
          <w:rFonts w:asciiTheme="majorHAnsi" w:hAnsiTheme="majorHAnsi" w:cstheme="majorHAnsi"/>
          <w:sz w:val="22"/>
          <w:szCs w:val="22"/>
        </w:rPr>
        <w:t xml:space="preserve"> zámku</w:t>
      </w:r>
      <w:r w:rsidR="00874F7A" w:rsidRPr="00874F7A">
        <w:rPr>
          <w:rFonts w:asciiTheme="majorHAnsi" w:hAnsiTheme="majorHAnsi" w:cstheme="majorHAnsi"/>
          <w:sz w:val="22"/>
          <w:szCs w:val="22"/>
        </w:rPr>
        <w:t xml:space="preserve"> nacházejí 3 místnosti </w:t>
      </w:r>
      <w:r w:rsidR="00B17B48">
        <w:rPr>
          <w:rFonts w:asciiTheme="majorHAnsi" w:hAnsiTheme="majorHAnsi" w:cstheme="majorHAnsi"/>
          <w:sz w:val="22"/>
          <w:szCs w:val="22"/>
        </w:rPr>
        <w:t xml:space="preserve">(č. 131, 132, 133) + zázemí skladu (místnosti č. 128, 129, 130), </w:t>
      </w:r>
      <w:r w:rsidR="00874F7A" w:rsidRPr="00874F7A">
        <w:rPr>
          <w:rFonts w:asciiTheme="majorHAnsi" w:hAnsiTheme="majorHAnsi" w:cstheme="majorHAnsi"/>
          <w:sz w:val="22"/>
          <w:szCs w:val="22"/>
        </w:rPr>
        <w:t>o celkové výměře 72,5 m</w:t>
      </w:r>
      <w:r w:rsidR="00874F7A" w:rsidRPr="00874F7A">
        <w:rPr>
          <w:rFonts w:asciiTheme="majorHAnsi" w:hAnsiTheme="majorHAnsi" w:cstheme="majorHAnsi"/>
          <w:sz w:val="22"/>
          <w:szCs w:val="22"/>
          <w:vertAlign w:val="superscript"/>
        </w:rPr>
        <w:t>2</w:t>
      </w:r>
      <w:r w:rsidR="00874F7A" w:rsidRPr="00874F7A">
        <w:rPr>
          <w:rFonts w:asciiTheme="majorHAnsi" w:hAnsiTheme="majorHAnsi" w:cstheme="majorHAnsi"/>
          <w:sz w:val="22"/>
          <w:szCs w:val="22"/>
        </w:rPr>
        <w:t>, graficky specifikované v příloze 1 této smlouvy</w:t>
      </w:r>
      <w:r w:rsidR="00874F7A" w:rsidRPr="00874F7A">
        <w:rPr>
          <w:rFonts w:asciiTheme="majorHAnsi" w:eastAsia="Calibri" w:hAnsiTheme="majorHAnsi" w:cstheme="majorHAnsi"/>
          <w:color w:val="000000"/>
          <w:sz w:val="22"/>
          <w:szCs w:val="22"/>
        </w:rPr>
        <w:t xml:space="preserve"> </w:t>
      </w:r>
      <w:r w:rsidRPr="00874F7A">
        <w:rPr>
          <w:rFonts w:asciiTheme="majorHAnsi" w:eastAsia="Calibri" w:hAnsiTheme="majorHAnsi" w:cstheme="majorHAnsi"/>
          <w:color w:val="000000"/>
          <w:sz w:val="22"/>
          <w:szCs w:val="22"/>
        </w:rPr>
        <w:t>(dále jen „předmět nájmu“).</w:t>
      </w:r>
    </w:p>
    <w:p w14:paraId="549B4E1D" w14:textId="77777777" w:rsidR="00B1452C" w:rsidRPr="00874F7A"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konstatuje, že pronájmem předmětu nájmu bude dosaženo účelnějšího nebo hospodárnějšího využití věci při zachování hlavního účelu, ke kterému pronajímateli slouží. </w:t>
      </w:r>
      <w:r w:rsidRPr="00874F7A">
        <w:rPr>
          <w:rFonts w:ascii="Calibri" w:eastAsia="Calibri" w:hAnsi="Calibri" w:cs="Calibri"/>
          <w:color w:val="000000"/>
          <w:sz w:val="22"/>
          <w:szCs w:val="22"/>
        </w:rPr>
        <w:t>S ohledem na povahu předmětu nájmu, nebyl předmět nájmu nabízen organizačním složkám a ostatním státním organizacím.</w:t>
      </w:r>
    </w:p>
    <w:p w14:paraId="65108D2B"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Smluvní strany se dohodly, v souladu s příslušnými ustanoveními obecně závazných právních předpisů, a to zejména zákona č. 89/2012 Sb., občanský zákoník, ve znění pozdějších předpisů a zákona č. 219/2000 Sb., o majetku České republiky a jejím vystupování v právních vztazích, ve znění pozdějších předpisů, na této smlouvě o nájmu prostor sloužících k podnikání. </w:t>
      </w:r>
    </w:p>
    <w:p w14:paraId="47049445"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15B8F941"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lastRenderedPageBreak/>
        <w:br/>
        <w:t>Předmět nájmu</w:t>
      </w:r>
    </w:p>
    <w:p w14:paraId="743EF273" w14:textId="77777777" w:rsidR="00B1452C"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přenechává nájemci v souladu s touto smlouvou a obecně závaznými právními předpisy k dočasnému užívání předmět nájmu a nájemce předmět nájmu v souladu s touto smlouvou a obecně závaznými právními předpisy podle této smlouvy přijímá do užívání a zavazuje se za to pronajímateli platit nájemné. </w:t>
      </w:r>
    </w:p>
    <w:p w14:paraId="2DE81CB1" w14:textId="1EF8A4B6" w:rsidR="00B1452C" w:rsidRPr="00874F7A"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sidRPr="00874F7A">
        <w:rPr>
          <w:rFonts w:ascii="Calibri" w:eastAsia="Calibri" w:hAnsi="Calibri" w:cs="Calibri"/>
          <w:color w:val="000000"/>
          <w:sz w:val="22"/>
          <w:szCs w:val="22"/>
        </w:rPr>
        <w:t xml:space="preserve">Spolu s předmětem nájmu </w:t>
      </w:r>
      <w:r w:rsidR="00874F7A" w:rsidRPr="00874F7A">
        <w:rPr>
          <w:rFonts w:ascii="Calibri" w:eastAsia="Calibri" w:hAnsi="Calibri" w:cs="Calibri"/>
          <w:color w:val="000000"/>
          <w:sz w:val="22"/>
          <w:szCs w:val="22"/>
        </w:rPr>
        <w:t>ne</w:t>
      </w:r>
      <w:r w:rsidRPr="00874F7A">
        <w:rPr>
          <w:rFonts w:ascii="Calibri" w:eastAsia="Calibri" w:hAnsi="Calibri" w:cs="Calibri"/>
          <w:color w:val="000000"/>
          <w:sz w:val="22"/>
          <w:szCs w:val="22"/>
        </w:rPr>
        <w:t>poskytuje pronajímatel nájemci na dobu nájmu oprávnění užívat movité věci,</w:t>
      </w:r>
      <w:bookmarkStart w:id="2" w:name="1fob9te" w:colFirst="0" w:colLast="0"/>
      <w:bookmarkEnd w:id="2"/>
      <w:r w:rsidRPr="00874F7A">
        <w:rPr>
          <w:rFonts w:ascii="Calibri" w:eastAsia="Calibri" w:hAnsi="Calibri" w:cs="Calibri"/>
          <w:color w:val="000000"/>
          <w:sz w:val="22"/>
          <w:szCs w:val="22"/>
        </w:rPr>
        <w:t xml:space="preserve"> které jsou rovněž předmětem nájmu</w:t>
      </w:r>
      <w:r w:rsidR="00657917">
        <w:rPr>
          <w:rFonts w:ascii="Calibri" w:eastAsia="Calibri" w:hAnsi="Calibri" w:cs="Calibri"/>
          <w:color w:val="000000"/>
          <w:sz w:val="22"/>
          <w:szCs w:val="22"/>
        </w:rPr>
        <w:t>.</w:t>
      </w:r>
    </w:p>
    <w:p w14:paraId="18514361" w14:textId="77777777" w:rsidR="00B1452C" w:rsidRPr="00874F7A" w:rsidRDefault="0082023E">
      <w:pPr>
        <w:numPr>
          <w:ilvl w:val="0"/>
          <w:numId w:val="10"/>
        </w:numPr>
        <w:pBdr>
          <w:top w:val="nil"/>
          <w:left w:val="nil"/>
          <w:bottom w:val="nil"/>
          <w:right w:val="nil"/>
          <w:between w:val="nil"/>
        </w:pBdr>
        <w:ind w:left="426"/>
        <w:jc w:val="both"/>
        <w:rPr>
          <w:rFonts w:ascii="Calibri" w:eastAsia="Calibri" w:hAnsi="Calibri" w:cs="Calibri"/>
          <w:color w:val="000000"/>
          <w:sz w:val="22"/>
          <w:szCs w:val="22"/>
        </w:rPr>
      </w:pPr>
      <w:r w:rsidRPr="00874F7A">
        <w:rPr>
          <w:rFonts w:ascii="Calibri" w:eastAsia="Calibri" w:hAnsi="Calibri" w:cs="Calibri"/>
          <w:color w:val="000000"/>
          <w:sz w:val="22"/>
          <w:szCs w:val="22"/>
        </w:rPr>
        <w:t>O předání a převzetí předmětu nájmu bude sepsán zápis, ve kterém se uvede stav předávaného a přebíraného předmětu nájmu a další rozhodné skutečnosti, včetně údajů pro stanovení výše úhrady za služby.</w:t>
      </w:r>
    </w:p>
    <w:p w14:paraId="0092A241" w14:textId="77777777" w:rsidR="00B1452C" w:rsidRDefault="00B1452C" w:rsidP="0085680E">
      <w:pPr>
        <w:pBdr>
          <w:top w:val="nil"/>
          <w:left w:val="nil"/>
          <w:bottom w:val="nil"/>
          <w:right w:val="nil"/>
          <w:between w:val="nil"/>
        </w:pBdr>
        <w:ind w:left="426"/>
        <w:jc w:val="center"/>
        <w:rPr>
          <w:rFonts w:ascii="Calibri" w:eastAsia="Calibri" w:hAnsi="Calibri" w:cs="Calibri"/>
          <w:color w:val="000000"/>
          <w:sz w:val="22"/>
          <w:szCs w:val="22"/>
        </w:rPr>
      </w:pPr>
    </w:p>
    <w:p w14:paraId="14674C11" w14:textId="77777777" w:rsidR="00B1452C" w:rsidRPr="00874F7A" w:rsidRDefault="0082023E" w:rsidP="0085680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r>
      <w:r w:rsidRPr="00874F7A">
        <w:rPr>
          <w:rFonts w:ascii="Calibri" w:eastAsia="Calibri" w:hAnsi="Calibri" w:cs="Calibri"/>
          <w:b/>
          <w:color w:val="000000"/>
          <w:sz w:val="22"/>
          <w:szCs w:val="22"/>
        </w:rPr>
        <w:t>Účel nájmu</w:t>
      </w:r>
    </w:p>
    <w:p w14:paraId="59DDE159" w14:textId="06F25188" w:rsidR="00B1452C" w:rsidRPr="00874F7A" w:rsidRDefault="0082023E">
      <w:pPr>
        <w:numPr>
          <w:ilvl w:val="1"/>
          <w:numId w:val="14"/>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874F7A">
        <w:rPr>
          <w:rFonts w:ascii="Calibri" w:eastAsia="Calibri" w:hAnsi="Calibri" w:cs="Calibri"/>
          <w:color w:val="000000"/>
          <w:sz w:val="22"/>
          <w:szCs w:val="22"/>
        </w:rPr>
        <w:t xml:space="preserve">Předmět nájmu bude užíván výlučně za účelem provozování podnikatelské činnosti spočívající </w:t>
      </w:r>
      <w:r w:rsidRPr="00874F7A">
        <w:rPr>
          <w:rFonts w:asciiTheme="majorHAnsi" w:eastAsia="Calibri" w:hAnsiTheme="majorHAnsi" w:cstheme="majorHAnsi"/>
          <w:color w:val="000000"/>
          <w:sz w:val="22"/>
          <w:szCs w:val="22"/>
        </w:rPr>
        <w:t>v</w:t>
      </w:r>
      <w:r w:rsidR="00874F7A" w:rsidRPr="00874F7A">
        <w:rPr>
          <w:rFonts w:asciiTheme="majorHAnsi" w:eastAsia="Calibri" w:hAnsiTheme="majorHAnsi" w:cstheme="majorHAnsi"/>
          <w:color w:val="000000"/>
          <w:sz w:val="22"/>
          <w:szCs w:val="22"/>
        </w:rPr>
        <w:t>:</w:t>
      </w:r>
      <w:r w:rsidR="00874F7A" w:rsidRPr="00874F7A">
        <w:rPr>
          <w:rFonts w:asciiTheme="majorHAnsi" w:hAnsiTheme="majorHAnsi" w:cstheme="majorHAnsi"/>
          <w:b/>
          <w:sz w:val="22"/>
          <w:szCs w:val="22"/>
        </w:rPr>
        <w:t xml:space="preserve"> výstavní a prodejní galerii</w:t>
      </w:r>
      <w:r w:rsidR="00874F7A" w:rsidRPr="00874F7A">
        <w:rPr>
          <w:rFonts w:asciiTheme="majorHAnsi" w:hAnsiTheme="majorHAnsi" w:cstheme="majorHAnsi"/>
          <w:sz w:val="22"/>
          <w:szCs w:val="22"/>
        </w:rPr>
        <w:t xml:space="preserve">, prodeji dekorativních děl a upomínkových předmětů </w:t>
      </w:r>
      <w:r w:rsidR="00657917">
        <w:rPr>
          <w:rFonts w:asciiTheme="majorHAnsi" w:hAnsiTheme="majorHAnsi" w:cstheme="majorHAnsi"/>
          <w:sz w:val="22"/>
          <w:szCs w:val="22"/>
        </w:rPr>
        <w:t>a jako</w:t>
      </w:r>
      <w:r w:rsidR="00874F7A" w:rsidRPr="00874F7A">
        <w:rPr>
          <w:rFonts w:asciiTheme="majorHAnsi" w:hAnsiTheme="majorHAnsi" w:cstheme="majorHAnsi"/>
          <w:sz w:val="22"/>
          <w:szCs w:val="22"/>
        </w:rPr>
        <w:t xml:space="preserve"> sklad</w:t>
      </w:r>
      <w:r w:rsidRPr="00874F7A">
        <w:rPr>
          <w:rFonts w:asciiTheme="majorHAnsi" w:eastAsia="Calibri" w:hAnsiTheme="majorHAnsi" w:cstheme="majorHAnsi"/>
          <w:i/>
          <w:color w:val="000000"/>
          <w:sz w:val="22"/>
          <w:szCs w:val="22"/>
        </w:rPr>
        <w:t xml:space="preserve">. </w:t>
      </w:r>
    </w:p>
    <w:p w14:paraId="301AE904" w14:textId="649ABEBF" w:rsidR="00B1452C" w:rsidRPr="00874F7A"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sidRPr="00874F7A">
        <w:rPr>
          <w:rFonts w:ascii="Calibri" w:eastAsia="Calibri" w:hAnsi="Calibri" w:cs="Calibri"/>
          <w:color w:val="000000"/>
          <w:sz w:val="22"/>
          <w:szCs w:val="22"/>
        </w:rPr>
        <w:t xml:space="preserve">Za porušení povinnosti uvedené v odst. 1 tohoto článku, je nájemce povinen zaplatit smluvní pokutu ve </w:t>
      </w:r>
      <w:r w:rsidRPr="00657917">
        <w:rPr>
          <w:rFonts w:ascii="Calibri" w:eastAsia="Calibri" w:hAnsi="Calibri" w:cs="Calibri"/>
          <w:color w:val="000000"/>
          <w:sz w:val="22"/>
          <w:szCs w:val="22"/>
        </w:rPr>
        <w:t xml:space="preserve">výši </w:t>
      </w:r>
      <w:r w:rsidR="00657917" w:rsidRPr="00657917">
        <w:rPr>
          <w:rFonts w:ascii="Calibri" w:eastAsia="Calibri" w:hAnsi="Calibri" w:cs="Calibri"/>
          <w:color w:val="000000"/>
          <w:sz w:val="22"/>
          <w:szCs w:val="22"/>
        </w:rPr>
        <w:t>5 </w:t>
      </w:r>
      <w:r w:rsidRPr="00657917">
        <w:rPr>
          <w:rFonts w:ascii="Calibri" w:eastAsia="Calibri" w:hAnsi="Calibri" w:cs="Calibri"/>
          <w:color w:val="000000"/>
          <w:sz w:val="22"/>
          <w:szCs w:val="22"/>
        </w:rPr>
        <w:t>000</w:t>
      </w:r>
      <w:r w:rsidR="00657917" w:rsidRPr="00657917">
        <w:rPr>
          <w:rFonts w:ascii="Calibri" w:eastAsia="Calibri" w:hAnsi="Calibri" w:cs="Calibri"/>
          <w:color w:val="000000"/>
          <w:sz w:val="22"/>
          <w:szCs w:val="22"/>
        </w:rPr>
        <w:t>,-</w:t>
      </w:r>
      <w:r w:rsidRPr="00657917">
        <w:rPr>
          <w:rFonts w:ascii="Calibri" w:eastAsia="Calibri" w:hAnsi="Calibri" w:cs="Calibri"/>
          <w:color w:val="000000"/>
          <w:sz w:val="22"/>
          <w:szCs w:val="22"/>
        </w:rPr>
        <w:t> Kč za každý takovýto případ.</w:t>
      </w:r>
    </w:p>
    <w:p w14:paraId="1369F9CD" w14:textId="77777777" w:rsidR="00B1452C" w:rsidRPr="00874F7A"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sidRPr="00874F7A">
        <w:rPr>
          <w:rFonts w:ascii="Calibri" w:eastAsia="Calibri" w:hAnsi="Calibri" w:cs="Calibri"/>
          <w:color w:val="000000"/>
          <w:sz w:val="22"/>
          <w:szCs w:val="22"/>
        </w:rPr>
        <w:t>Nájemce prohlašuje, že je mu stav předmětu nájmu znám a v takovémto stavu jej k dočasnému užívání přijímá.</w:t>
      </w:r>
    </w:p>
    <w:p w14:paraId="63A0DB8D" w14:textId="77777777" w:rsidR="00B1452C" w:rsidRPr="00874F7A" w:rsidRDefault="0082023E">
      <w:pPr>
        <w:numPr>
          <w:ilvl w:val="1"/>
          <w:numId w:val="14"/>
        </w:numPr>
        <w:pBdr>
          <w:top w:val="nil"/>
          <w:left w:val="nil"/>
          <w:bottom w:val="nil"/>
          <w:right w:val="nil"/>
          <w:between w:val="nil"/>
        </w:pBdr>
        <w:spacing w:after="60"/>
        <w:jc w:val="both"/>
        <w:rPr>
          <w:rFonts w:ascii="Calibri" w:eastAsia="Calibri" w:hAnsi="Calibri" w:cs="Calibri"/>
          <w:color w:val="000000"/>
          <w:sz w:val="22"/>
          <w:szCs w:val="22"/>
        </w:rPr>
      </w:pPr>
      <w:r w:rsidRPr="00874F7A">
        <w:rPr>
          <w:rFonts w:ascii="Calibri" w:eastAsia="Calibri" w:hAnsi="Calibri" w:cs="Calibri"/>
          <w:color w:val="000000"/>
          <w:sz w:val="22"/>
          <w:szCs w:val="22"/>
        </w:rPr>
        <w:t>Nájemce prohlašuje, že je oprávněn provozovat podnikatelskou činnost dle tohoto článku.</w:t>
      </w:r>
    </w:p>
    <w:p w14:paraId="2D13A543"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65B7CA89" w14:textId="77777777" w:rsidR="00B1452C" w:rsidRDefault="00B1452C">
      <w:pPr>
        <w:pBdr>
          <w:top w:val="nil"/>
          <w:left w:val="nil"/>
          <w:bottom w:val="nil"/>
          <w:right w:val="nil"/>
          <w:between w:val="nil"/>
        </w:pBdr>
        <w:jc w:val="both"/>
        <w:rPr>
          <w:rFonts w:ascii="Calibri" w:eastAsia="Calibri" w:hAnsi="Calibri" w:cs="Calibri"/>
          <w:color w:val="000000"/>
          <w:sz w:val="22"/>
          <w:szCs w:val="22"/>
        </w:rPr>
      </w:pPr>
    </w:p>
    <w:p w14:paraId="56E1E9BF"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 xml:space="preserve">Cena nájmu, jeho splatnost a způsob úhrady </w:t>
      </w:r>
    </w:p>
    <w:p w14:paraId="33D12785"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Cena nájmu je stanovena minimálně ve výši v místě a v čase obvyklé.</w:t>
      </w:r>
    </w:p>
    <w:p w14:paraId="79E5D8B4"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Cena nájmu je složena takto:</w:t>
      </w:r>
    </w:p>
    <w:p w14:paraId="49A8E364" w14:textId="77777777" w:rsidR="009948E5" w:rsidRPr="00F61F65" w:rsidRDefault="009948E5" w:rsidP="009948E5">
      <w:pPr>
        <w:widowControl w:val="0"/>
        <w:pBdr>
          <w:top w:val="nil"/>
          <w:left w:val="nil"/>
          <w:bottom w:val="nil"/>
          <w:right w:val="nil"/>
          <w:between w:val="nil"/>
        </w:pBdr>
        <w:spacing w:after="60"/>
        <w:ind w:left="425"/>
        <w:jc w:val="both"/>
        <w:rPr>
          <w:rFonts w:ascii="Calibri" w:eastAsia="Calibri" w:hAnsi="Calibri" w:cs="Calibri"/>
          <w:color w:val="000000"/>
          <w:sz w:val="22"/>
          <w:szCs w:val="22"/>
        </w:rPr>
      </w:pPr>
      <w:r w:rsidRPr="00F61F65">
        <w:rPr>
          <w:rFonts w:ascii="Calibri" w:eastAsia="Calibri" w:hAnsi="Calibri" w:cs="Calibri"/>
          <w:color w:val="000000"/>
          <w:sz w:val="22"/>
          <w:szCs w:val="22"/>
          <w:highlight w:val="yellow"/>
        </w:rPr>
        <w:t>Celková výše platby (dále jen „nájemné“) za jeden kalendářní rok činí          ,- Kč</w:t>
      </w:r>
      <w:r w:rsidRPr="00F61F65">
        <w:rPr>
          <w:rFonts w:ascii="Calibri" w:eastAsia="Calibri" w:hAnsi="Calibri" w:cs="Calibri"/>
          <w:color w:val="000000"/>
          <w:sz w:val="22"/>
          <w:szCs w:val="22"/>
        </w:rPr>
        <w:t>. Nájemné za předmět nájmu je osvobozeno od DPH (osvobozené plnění dle zákona č. 235/2004 Sb. § 56a)</w:t>
      </w:r>
    </w:p>
    <w:p w14:paraId="2300F055" w14:textId="1C24C81F" w:rsidR="00874F7A" w:rsidRPr="00F61F65" w:rsidRDefault="009948E5" w:rsidP="005155D1">
      <w:pPr>
        <w:widowControl w:val="0"/>
        <w:numPr>
          <w:ilvl w:val="1"/>
          <w:numId w:val="12"/>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F61F65">
        <w:rPr>
          <w:rFonts w:asciiTheme="majorHAnsi" w:hAnsiTheme="majorHAnsi" w:cstheme="majorHAnsi"/>
          <w:sz w:val="22"/>
          <w:szCs w:val="22"/>
        </w:rPr>
        <w:t>Nájemné za smluvně dohodnuté období  - kalendářní rok – je splatné formou čtvrtletních plateb vždy ve výši ¼ ročního nájemného. Toto nájemné bude nájemce hradit převodem příslušné částky na účet pronajímatele uvedený v záhlaví této smlouvy, a to vždy na základě faktury se 21-ti denní splatností – daňového dokladu vystaveného pronajímatelem v termínu vždy k prvnímu dni kalendářního čtvrtletí.</w:t>
      </w:r>
    </w:p>
    <w:p w14:paraId="185B8E53" w14:textId="665340B8" w:rsidR="00B1452C" w:rsidRPr="00874F7A" w:rsidRDefault="0082023E" w:rsidP="005155D1">
      <w:pPr>
        <w:widowControl w:val="0"/>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sidRPr="00F61F65">
        <w:rPr>
          <w:rFonts w:ascii="Calibri" w:eastAsia="Calibri" w:hAnsi="Calibri" w:cs="Calibri"/>
          <w:color w:val="000000"/>
          <w:sz w:val="22"/>
          <w:szCs w:val="22"/>
        </w:rPr>
        <w:t xml:space="preserve">Pronajímatel je dle svého uvážení a aktuální situace na trhu oprávněn </w:t>
      </w:r>
      <w:r w:rsidR="004150FE" w:rsidRPr="00F61F65">
        <w:rPr>
          <w:rFonts w:ascii="Calibri" w:eastAsia="Calibri" w:hAnsi="Calibri" w:cs="Calibri"/>
          <w:color w:val="000000"/>
          <w:sz w:val="22"/>
          <w:szCs w:val="22"/>
        </w:rPr>
        <w:t>n</w:t>
      </w:r>
      <w:r w:rsidRPr="00F61F65">
        <w:rPr>
          <w:rFonts w:ascii="Calibri" w:eastAsia="Calibri" w:hAnsi="Calibri" w:cs="Calibri"/>
          <w:color w:val="000000"/>
          <w:sz w:val="22"/>
          <w:szCs w:val="22"/>
        </w:rPr>
        <w:t xml:space="preserve">ájemné počínaje rokem </w:t>
      </w:r>
      <w:r w:rsidR="00874F7A" w:rsidRPr="00F61F65">
        <w:rPr>
          <w:rFonts w:ascii="Calibri" w:eastAsia="Calibri" w:hAnsi="Calibri" w:cs="Calibri"/>
          <w:color w:val="000000"/>
          <w:sz w:val="22"/>
          <w:szCs w:val="22"/>
        </w:rPr>
        <w:t>2027</w:t>
      </w:r>
      <w:r w:rsidRPr="00874F7A">
        <w:rPr>
          <w:rFonts w:ascii="Calibri" w:eastAsia="Calibri" w:hAnsi="Calibri" w:cs="Calibri"/>
          <w:color w:val="000000"/>
          <w:sz w:val="22"/>
          <w:szCs w:val="22"/>
        </w:rPr>
        <w:t xml:space="preserve"> valorizovat vždy k 1. 1. každého roku Harmonizovaným indexem spotřebitelských cen (HICP) vyhlášeným Českým statistickým úřadem (či obdobným úřadem oprávněným k vyhlašování zmíněného indexu) za uplynulý kalendářní rok. Toto zvýšení nájemného je pronajímatel povinen nájemci písemně oznámit do 31. března příslušného roku. Nepřesáhne-li na základě této inflační doložky roční zvýšení nájemného částku 200,- Kč, zvýšení nájemného se neuplatní. Nezaplacené nájemné z důvodu zvýšení nájemného za příslušné měsíce je splatné spolu s nejbližším nájemným následujícím po doručení písemného oznámení pronajímatele v každém takovém roce. V případě záporné inflace se výše nájemné pro daný rok neupravuje. Výsledná výše nájemného se vždy zaokrouhlí na desetikoruny směrem nahoru</w:t>
      </w:r>
      <w:r w:rsidRPr="00874F7A">
        <w:rPr>
          <w:rFonts w:ascii="Calibri" w:eastAsia="Calibri" w:hAnsi="Calibri" w:cs="Calibri"/>
          <w:i/>
          <w:color w:val="000000"/>
          <w:sz w:val="22"/>
          <w:szCs w:val="22"/>
        </w:rPr>
        <w:t>.</w:t>
      </w:r>
      <w:r w:rsidRPr="00874F7A">
        <w:rPr>
          <w:rFonts w:ascii="Calibri" w:eastAsia="Calibri" w:hAnsi="Calibri" w:cs="Calibri"/>
          <w:color w:val="000000"/>
          <w:sz w:val="22"/>
          <w:szCs w:val="22"/>
        </w:rPr>
        <w:t xml:space="preserve"> Zvýšení nájemného pronajímatel nájemci oznámí bez nutnosti uzavírat dodatek k této smlouvě, strany spolu mohou uzavřít dodatek s deklaratorními účinky.</w:t>
      </w:r>
    </w:p>
    <w:p w14:paraId="0B6FC732" w14:textId="2CA57912" w:rsidR="00B1452C" w:rsidRPr="00874F7A"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Nájemné se považuje za uhrazené dnem připsání částky nájemného na účet pronajímatele. V případě prodlení s platbami nájemného či služeb je nájemce povinen uhradit smluvní pokutu ve </w:t>
      </w:r>
      <w:r w:rsidRPr="00874F7A">
        <w:rPr>
          <w:rFonts w:ascii="Calibri" w:eastAsia="Calibri" w:hAnsi="Calibri" w:cs="Calibri"/>
          <w:color w:val="000000"/>
          <w:sz w:val="22"/>
          <w:szCs w:val="22"/>
        </w:rPr>
        <w:t xml:space="preserve">výši </w:t>
      </w:r>
      <w:r w:rsidR="004150FE" w:rsidRPr="00874F7A">
        <w:rPr>
          <w:rFonts w:ascii="Calibri" w:eastAsia="Calibri" w:hAnsi="Calibri" w:cs="Calibri"/>
          <w:color w:val="000000"/>
          <w:sz w:val="22"/>
          <w:szCs w:val="22"/>
        </w:rPr>
        <w:t>0,</w:t>
      </w:r>
      <w:r w:rsidR="00657917">
        <w:rPr>
          <w:rFonts w:ascii="Calibri" w:eastAsia="Calibri" w:hAnsi="Calibri" w:cs="Calibri"/>
          <w:color w:val="000000"/>
          <w:sz w:val="22"/>
          <w:szCs w:val="22"/>
        </w:rPr>
        <w:t>1</w:t>
      </w:r>
      <w:r w:rsidRPr="00874F7A">
        <w:rPr>
          <w:rFonts w:ascii="Calibri" w:eastAsia="Calibri" w:hAnsi="Calibri" w:cs="Calibri"/>
          <w:color w:val="000000"/>
          <w:sz w:val="22"/>
          <w:szCs w:val="22"/>
        </w:rPr>
        <w:t xml:space="preserve"> % z dlužné částky včetně DPH za každý započatý den prodlení. </w:t>
      </w:r>
    </w:p>
    <w:p w14:paraId="5A396FC0" w14:textId="39C309E0"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V případě ukončení nájmu je nájemce povinen hradit </w:t>
      </w:r>
      <w:r w:rsidR="00657917">
        <w:rPr>
          <w:rFonts w:ascii="Calibri" w:eastAsia="Calibri" w:hAnsi="Calibri" w:cs="Calibri"/>
          <w:color w:val="000000"/>
          <w:sz w:val="22"/>
          <w:szCs w:val="22"/>
        </w:rPr>
        <w:t xml:space="preserve">částku odpovídající </w:t>
      </w:r>
      <w:r>
        <w:rPr>
          <w:rFonts w:ascii="Calibri" w:eastAsia="Calibri" w:hAnsi="Calibri" w:cs="Calibri"/>
          <w:color w:val="000000"/>
          <w:sz w:val="22"/>
          <w:szCs w:val="22"/>
        </w:rPr>
        <w:t>nájemné</w:t>
      </w:r>
      <w:r w:rsidR="00657917">
        <w:rPr>
          <w:rFonts w:ascii="Calibri" w:eastAsia="Calibri" w:hAnsi="Calibri" w:cs="Calibri"/>
          <w:color w:val="000000"/>
          <w:sz w:val="22"/>
          <w:szCs w:val="22"/>
        </w:rPr>
        <w:t>mu</w:t>
      </w:r>
      <w:r>
        <w:rPr>
          <w:rFonts w:ascii="Calibri" w:eastAsia="Calibri" w:hAnsi="Calibri" w:cs="Calibri"/>
          <w:color w:val="000000"/>
          <w:sz w:val="22"/>
          <w:szCs w:val="22"/>
        </w:rPr>
        <w:t xml:space="preserve"> až do okamžiku vyklizení a předání předmětu nájmu pronajímateli.</w:t>
      </w:r>
    </w:p>
    <w:p w14:paraId="6881077E"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39095872"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 xml:space="preserve">Služby související s nájemním vztahem, jejich cena a splatnost </w:t>
      </w:r>
    </w:p>
    <w:p w14:paraId="3692E7EE" w14:textId="77777777" w:rsidR="00B1452C" w:rsidRPr="0010774B" w:rsidRDefault="0082023E">
      <w:pPr>
        <w:numPr>
          <w:ilvl w:val="1"/>
          <w:numId w:val="12"/>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10774B">
        <w:rPr>
          <w:rFonts w:asciiTheme="majorHAnsi" w:eastAsia="Calibri" w:hAnsiTheme="majorHAnsi" w:cstheme="majorHAnsi"/>
          <w:color w:val="000000"/>
          <w:sz w:val="22"/>
          <w:szCs w:val="22"/>
        </w:rPr>
        <w:t>V souvislosti s nájmem poskytuje pronajímatel nájemci tyto služby:</w:t>
      </w:r>
    </w:p>
    <w:p w14:paraId="3CD8591F" w14:textId="77777777" w:rsidR="00B1452C" w:rsidRPr="0010774B" w:rsidRDefault="0082023E">
      <w:pPr>
        <w:pBdr>
          <w:top w:val="nil"/>
          <w:left w:val="nil"/>
          <w:bottom w:val="nil"/>
          <w:right w:val="nil"/>
          <w:between w:val="nil"/>
        </w:pBdr>
        <w:ind w:firstLine="708"/>
        <w:rPr>
          <w:rFonts w:asciiTheme="majorHAnsi" w:eastAsia="Calibri" w:hAnsiTheme="majorHAnsi" w:cstheme="majorHAnsi"/>
          <w:color w:val="000000"/>
          <w:sz w:val="22"/>
          <w:szCs w:val="22"/>
        </w:rPr>
      </w:pPr>
      <w:r w:rsidRPr="0010774B">
        <w:rPr>
          <w:rFonts w:asciiTheme="majorHAnsi" w:eastAsia="Calibri" w:hAnsiTheme="majorHAnsi" w:cstheme="majorHAnsi"/>
          <w:color w:val="000000"/>
          <w:sz w:val="22"/>
          <w:szCs w:val="22"/>
        </w:rPr>
        <w:t>- el. energie,</w:t>
      </w:r>
    </w:p>
    <w:p w14:paraId="52DFD4ED" w14:textId="10A375F4" w:rsidR="00B1452C" w:rsidRPr="0010774B" w:rsidRDefault="0082023E">
      <w:pPr>
        <w:pBdr>
          <w:top w:val="nil"/>
          <w:left w:val="nil"/>
          <w:bottom w:val="nil"/>
          <w:right w:val="nil"/>
          <w:between w:val="nil"/>
        </w:pBdr>
        <w:ind w:firstLine="708"/>
        <w:rPr>
          <w:rFonts w:asciiTheme="majorHAnsi" w:eastAsia="Calibri" w:hAnsiTheme="majorHAnsi" w:cstheme="majorHAnsi"/>
          <w:color w:val="000000"/>
          <w:sz w:val="22"/>
          <w:szCs w:val="22"/>
        </w:rPr>
      </w:pPr>
      <w:r w:rsidRPr="0010774B">
        <w:rPr>
          <w:rFonts w:asciiTheme="majorHAnsi" w:eastAsia="Calibri" w:hAnsiTheme="majorHAnsi" w:cstheme="majorHAnsi"/>
          <w:color w:val="000000"/>
          <w:sz w:val="22"/>
          <w:szCs w:val="22"/>
        </w:rPr>
        <w:t>- vod</w:t>
      </w:r>
      <w:r w:rsidR="00874F7A" w:rsidRPr="0010774B">
        <w:rPr>
          <w:rFonts w:asciiTheme="majorHAnsi" w:eastAsia="Calibri" w:hAnsiTheme="majorHAnsi" w:cstheme="majorHAnsi"/>
          <w:color w:val="000000"/>
          <w:sz w:val="22"/>
          <w:szCs w:val="22"/>
        </w:rPr>
        <w:t>né, stočné</w:t>
      </w:r>
    </w:p>
    <w:p w14:paraId="3B0A120C" w14:textId="77777777" w:rsidR="0010774B" w:rsidRPr="0010774B" w:rsidRDefault="0010774B" w:rsidP="0010774B">
      <w:pPr>
        <w:pStyle w:val="odstavce"/>
        <w:numPr>
          <w:ilvl w:val="1"/>
          <w:numId w:val="12"/>
        </w:numPr>
        <w:rPr>
          <w:rFonts w:asciiTheme="majorHAnsi" w:hAnsiTheme="majorHAnsi" w:cstheme="majorHAnsi"/>
          <w:lang w:val="cs-CZ"/>
        </w:rPr>
      </w:pPr>
      <w:bookmarkStart w:id="3" w:name="3znysh7" w:colFirst="0" w:colLast="0"/>
      <w:bookmarkEnd w:id="3"/>
      <w:r w:rsidRPr="0010774B">
        <w:rPr>
          <w:rFonts w:asciiTheme="majorHAnsi" w:hAnsiTheme="majorHAnsi" w:cstheme="majorHAnsi"/>
          <w:lang w:val="cs-CZ"/>
        </w:rPr>
        <w:t>Způsob vyúčtování těchto služeb:</w:t>
      </w:r>
    </w:p>
    <w:p w14:paraId="0C6326B0" w14:textId="77777777" w:rsidR="0010774B" w:rsidRPr="0010774B" w:rsidRDefault="0010774B" w:rsidP="0010774B">
      <w:pPr>
        <w:ind w:left="708"/>
        <w:rPr>
          <w:rFonts w:asciiTheme="majorHAnsi" w:hAnsiTheme="majorHAnsi" w:cstheme="majorHAnsi"/>
          <w:sz w:val="22"/>
          <w:szCs w:val="22"/>
        </w:rPr>
      </w:pPr>
      <w:r w:rsidRPr="0010774B">
        <w:rPr>
          <w:rFonts w:asciiTheme="majorHAnsi" w:hAnsiTheme="majorHAnsi" w:cstheme="majorHAnsi"/>
          <w:sz w:val="22"/>
          <w:szCs w:val="22"/>
        </w:rPr>
        <w:t>el. energie - paušál s ročním vyúčtováním přeúčtování skutečnosti dle elektroměru č./ID Code 5511465/1990</w:t>
      </w:r>
    </w:p>
    <w:p w14:paraId="52CFD69F" w14:textId="77777777" w:rsidR="0010774B" w:rsidRPr="0010774B" w:rsidRDefault="0010774B" w:rsidP="0010774B">
      <w:pPr>
        <w:ind w:left="708"/>
        <w:rPr>
          <w:rFonts w:asciiTheme="majorHAnsi" w:hAnsiTheme="majorHAnsi" w:cstheme="majorHAnsi"/>
          <w:sz w:val="22"/>
          <w:szCs w:val="22"/>
        </w:rPr>
      </w:pPr>
      <w:r w:rsidRPr="0010774B">
        <w:rPr>
          <w:rFonts w:asciiTheme="majorHAnsi" w:hAnsiTheme="majorHAnsi" w:cstheme="majorHAnsi"/>
          <w:sz w:val="22"/>
          <w:szCs w:val="22"/>
        </w:rPr>
        <w:t>voda a stočné – bližší specifikace v příloze č. 2 této smlouvy</w:t>
      </w:r>
    </w:p>
    <w:p w14:paraId="0A6983CE" w14:textId="77777777" w:rsidR="0010774B" w:rsidRPr="0010774B" w:rsidRDefault="0010774B" w:rsidP="0010774B">
      <w:pPr>
        <w:pStyle w:val="odstavce"/>
        <w:numPr>
          <w:ilvl w:val="1"/>
          <w:numId w:val="12"/>
        </w:numPr>
        <w:rPr>
          <w:rFonts w:asciiTheme="majorHAnsi" w:hAnsiTheme="majorHAnsi" w:cstheme="majorHAnsi"/>
          <w:lang w:val="cs-CZ"/>
        </w:rPr>
      </w:pPr>
      <w:r w:rsidRPr="0010774B">
        <w:rPr>
          <w:rFonts w:asciiTheme="majorHAnsi" w:hAnsiTheme="majorHAnsi" w:cstheme="majorHAnsi"/>
          <w:lang w:val="cs-CZ"/>
        </w:rPr>
        <w:t xml:space="preserve">Cena služeb: </w:t>
      </w:r>
    </w:p>
    <w:p w14:paraId="0CF23AD9" w14:textId="77777777" w:rsidR="0010774B" w:rsidRPr="0010774B" w:rsidRDefault="0010774B" w:rsidP="0010774B">
      <w:pPr>
        <w:ind w:firstLine="708"/>
        <w:rPr>
          <w:rFonts w:asciiTheme="majorHAnsi" w:hAnsiTheme="majorHAnsi" w:cstheme="majorHAnsi"/>
          <w:sz w:val="22"/>
          <w:szCs w:val="22"/>
        </w:rPr>
      </w:pPr>
      <w:r w:rsidRPr="0010774B">
        <w:rPr>
          <w:rFonts w:asciiTheme="majorHAnsi" w:hAnsiTheme="majorHAnsi" w:cstheme="majorHAnsi"/>
          <w:sz w:val="22"/>
          <w:szCs w:val="22"/>
        </w:rPr>
        <w:t>el. energie - paušál / sazba za KWh (NT, VT)</w:t>
      </w:r>
    </w:p>
    <w:p w14:paraId="43C85579" w14:textId="77777777" w:rsidR="0010774B" w:rsidRPr="0010774B" w:rsidRDefault="0010774B" w:rsidP="0010774B">
      <w:pPr>
        <w:ind w:firstLine="708"/>
        <w:rPr>
          <w:rFonts w:asciiTheme="majorHAnsi" w:hAnsiTheme="majorHAnsi" w:cstheme="majorHAnsi"/>
          <w:sz w:val="22"/>
          <w:szCs w:val="22"/>
        </w:rPr>
      </w:pPr>
      <w:r w:rsidRPr="0010774B">
        <w:rPr>
          <w:rFonts w:asciiTheme="majorHAnsi" w:hAnsiTheme="majorHAnsi" w:cstheme="majorHAnsi"/>
          <w:sz w:val="22"/>
          <w:szCs w:val="22"/>
        </w:rPr>
        <w:t>voda, stočné – množství sazba dle vyhlášky (viz příloha č. 2 smlouvy)</w:t>
      </w:r>
    </w:p>
    <w:p w14:paraId="04E64FEE" w14:textId="2E01997C" w:rsidR="0010774B" w:rsidRPr="0010774B" w:rsidRDefault="0010774B" w:rsidP="0010774B">
      <w:pPr>
        <w:pBdr>
          <w:top w:val="nil"/>
          <w:left w:val="nil"/>
          <w:bottom w:val="nil"/>
          <w:right w:val="nil"/>
          <w:between w:val="nil"/>
        </w:pBdr>
        <w:spacing w:after="60"/>
        <w:ind w:left="425"/>
        <w:jc w:val="both"/>
        <w:rPr>
          <w:rFonts w:asciiTheme="majorHAnsi" w:eastAsia="Calibri" w:hAnsiTheme="majorHAnsi" w:cstheme="majorHAnsi"/>
          <w:color w:val="000000"/>
          <w:sz w:val="22"/>
          <w:szCs w:val="22"/>
        </w:rPr>
      </w:pPr>
      <w:r w:rsidRPr="0010774B">
        <w:rPr>
          <w:rFonts w:asciiTheme="majorHAnsi" w:hAnsiTheme="majorHAnsi" w:cstheme="majorHAnsi"/>
          <w:sz w:val="22"/>
          <w:szCs w:val="22"/>
        </w:rPr>
        <w:t>Ceny služeb: el. energie/voda/s</w:t>
      </w:r>
      <w:r w:rsidR="00F61F65">
        <w:rPr>
          <w:rFonts w:asciiTheme="majorHAnsi" w:hAnsiTheme="majorHAnsi" w:cstheme="majorHAnsi"/>
          <w:sz w:val="22"/>
          <w:szCs w:val="22"/>
        </w:rPr>
        <w:t>t</w:t>
      </w:r>
      <w:r w:rsidRPr="0010774B">
        <w:rPr>
          <w:rFonts w:asciiTheme="majorHAnsi" w:hAnsiTheme="majorHAnsi" w:cstheme="majorHAnsi"/>
          <w:sz w:val="22"/>
          <w:szCs w:val="22"/>
        </w:rPr>
        <w:t>očné – sazba za kWh a m3 dle aktuálních tarifů (NT, VT) pro aktuální rok</w:t>
      </w:r>
    </w:p>
    <w:p w14:paraId="11D1DC75" w14:textId="3B03340B" w:rsidR="0010774B" w:rsidRPr="0010774B" w:rsidRDefault="0010774B" w:rsidP="0010774B">
      <w:pPr>
        <w:numPr>
          <w:ilvl w:val="1"/>
          <w:numId w:val="12"/>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10774B">
        <w:rPr>
          <w:rFonts w:asciiTheme="majorHAnsi" w:hAnsiTheme="majorHAnsi" w:cstheme="majorHAnsi"/>
          <w:sz w:val="22"/>
          <w:szCs w:val="22"/>
        </w:rPr>
        <w:t>Služby související s nájemním vztahem, stejně jako způsob úhrady za jejich poskytování, jsou blíže specifikovány v Příloze č. 2, která je nedílnou součástí této smlouvy</w:t>
      </w:r>
    </w:p>
    <w:p w14:paraId="55D1336F"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55AF0E8D" w14:textId="77777777" w:rsidR="00B1452C" w:rsidRDefault="0082023E">
      <w:pPr>
        <w:keepNext/>
        <w:keepLines/>
        <w:widowControl w:val="0"/>
        <w:numPr>
          <w:ilvl w:val="0"/>
          <w:numId w:val="12"/>
        </w:numPr>
        <w:pBdr>
          <w:top w:val="nil"/>
          <w:left w:val="nil"/>
          <w:bottom w:val="nil"/>
          <w:right w:val="nil"/>
          <w:between w:val="nil"/>
        </w:pBdr>
        <w:ind w:left="425" w:firstLine="425"/>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 </w:t>
      </w:r>
      <w:r>
        <w:rPr>
          <w:rFonts w:ascii="Calibri" w:eastAsia="Calibri" w:hAnsi="Calibri" w:cs="Calibri"/>
          <w:b/>
          <w:color w:val="000000"/>
          <w:sz w:val="22"/>
          <w:szCs w:val="22"/>
        </w:rPr>
        <w:br/>
        <w:t>Podnájem</w:t>
      </w:r>
    </w:p>
    <w:p w14:paraId="37CE2046" w14:textId="77777777" w:rsidR="00B1452C" w:rsidRDefault="0082023E">
      <w:pPr>
        <w:numPr>
          <w:ilvl w:val="1"/>
          <w:numId w:val="4"/>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není oprávněn přenechat předmět nájmu ani jeho část do podnájmu další osobě, s výjimkou případu předchozího písemného souhlasu pronajímatele a Ministerstva kultury.</w:t>
      </w:r>
    </w:p>
    <w:p w14:paraId="79B8EA3A" w14:textId="5A476E95" w:rsidR="00B1452C" w:rsidRPr="0010774B" w:rsidRDefault="0082023E">
      <w:pPr>
        <w:numPr>
          <w:ilvl w:val="1"/>
          <w:numId w:val="4"/>
        </w:numPr>
        <w:pBdr>
          <w:top w:val="nil"/>
          <w:left w:val="nil"/>
          <w:bottom w:val="nil"/>
          <w:right w:val="nil"/>
          <w:between w:val="nil"/>
        </w:pBdr>
        <w:spacing w:after="60"/>
        <w:jc w:val="both"/>
        <w:rPr>
          <w:rFonts w:ascii="Calibri" w:eastAsia="Calibri" w:hAnsi="Calibri" w:cs="Calibri"/>
          <w:color w:val="000000"/>
          <w:sz w:val="22"/>
          <w:szCs w:val="22"/>
        </w:rPr>
      </w:pPr>
      <w:r w:rsidRPr="0010774B">
        <w:rPr>
          <w:rFonts w:ascii="Calibri" w:eastAsia="Calibri" w:hAnsi="Calibri" w:cs="Calibri"/>
          <w:color w:val="000000"/>
          <w:sz w:val="22"/>
          <w:szCs w:val="22"/>
        </w:rPr>
        <w:t xml:space="preserve">Za porušení povinnosti uvedené v odst. 1 tohoto článku, je nájemce povinen zaplatit smluvní pokutu ve </w:t>
      </w:r>
      <w:r w:rsidRPr="00657917">
        <w:rPr>
          <w:rFonts w:ascii="Calibri" w:eastAsia="Calibri" w:hAnsi="Calibri" w:cs="Calibri"/>
          <w:color w:val="000000"/>
          <w:sz w:val="22"/>
          <w:szCs w:val="22"/>
        </w:rPr>
        <w:t>výši 5</w:t>
      </w:r>
      <w:r w:rsidR="00657917" w:rsidRPr="00657917">
        <w:rPr>
          <w:rFonts w:ascii="Calibri" w:eastAsia="Calibri" w:hAnsi="Calibri" w:cs="Calibri"/>
          <w:color w:val="000000"/>
          <w:sz w:val="22"/>
          <w:szCs w:val="22"/>
        </w:rPr>
        <w:t> </w:t>
      </w:r>
      <w:r w:rsidRPr="00657917">
        <w:rPr>
          <w:rFonts w:ascii="Calibri" w:eastAsia="Calibri" w:hAnsi="Calibri" w:cs="Calibri"/>
          <w:color w:val="000000"/>
          <w:sz w:val="22"/>
          <w:szCs w:val="22"/>
        </w:rPr>
        <w:t>000</w:t>
      </w:r>
      <w:r w:rsidR="00657917" w:rsidRPr="00657917">
        <w:rPr>
          <w:rFonts w:ascii="Calibri" w:eastAsia="Calibri" w:hAnsi="Calibri" w:cs="Calibri"/>
          <w:color w:val="000000"/>
          <w:sz w:val="22"/>
          <w:szCs w:val="22"/>
        </w:rPr>
        <w:t>,-</w:t>
      </w:r>
      <w:r w:rsidRPr="00657917">
        <w:rPr>
          <w:rFonts w:ascii="Calibri" w:eastAsia="Calibri" w:hAnsi="Calibri" w:cs="Calibri"/>
          <w:color w:val="000000"/>
          <w:sz w:val="22"/>
          <w:szCs w:val="22"/>
        </w:rPr>
        <w:t> Kč za každý takovýto případ.</w:t>
      </w:r>
      <w:r w:rsidRPr="0010774B">
        <w:rPr>
          <w:rFonts w:ascii="Calibri" w:eastAsia="Calibri" w:hAnsi="Calibri" w:cs="Calibri"/>
          <w:color w:val="000000"/>
          <w:sz w:val="22"/>
          <w:szCs w:val="22"/>
        </w:rPr>
        <w:t xml:space="preserve"> </w:t>
      </w:r>
    </w:p>
    <w:p w14:paraId="45FEBA3E"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583BAA13"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Stavební a jiné úpravy</w:t>
      </w:r>
    </w:p>
    <w:p w14:paraId="03F874AC"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Veškeré opravy a stavební úpravy prováděné na přání nájemce, které bude nájemce v předmětu nájmu provádět, budou realizovány na jeho náklad. Nájemce je povinen veškeré stavební úpravy předmětu pronájmu písemně oznámit pronajímateli a vyžádat si předem jeho písemný souhlas s jejich provedením. Nájemce je dále povinen před započetím stavebních úprav vyžadujících ohlášení nebo povolení ve smyslu zákona č. 183/2006 Sb. o územním plánování a stavebním řádu (stavební zákon), v platném znění, vyžádat si patřičná povolení nebo takovou činnost ohlásit orgánu určenému tímto předpisem.</w:t>
      </w:r>
    </w:p>
    <w:p w14:paraId="6DA08ED2"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je povinen udržovat řádný vzhled předmětu nájmu.</w:t>
      </w:r>
    </w:p>
    <w:p w14:paraId="4394122A"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Předchozí písemný souhlas pronajímatele je zapotřebí pro umístění jakékoliv reklamy či informačního zařízení (informačního štítu tabulky a podobně) na nemovitou věc, kde se nachází předmět nájmu. Nejpozději při předání předmětu nájmu zpět pronajímateli odstraní nájemce na svůj náklad případnou reklamu či informační zařízení.</w:t>
      </w:r>
    </w:p>
    <w:p w14:paraId="2289A31C"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se zavazuje neprovádět jakékoliv zásahy do omítek a zdiva (včetně opírání předmětů o zdivo a vzpírání mezi zdmi), nátěry a přemísťování inventáře z předmětu nájmu bez předchozího písemného souhlasu pronajímatele. Rovněž nebude zasahovat do míst s potencionálním výskytem archeologických nálezů, tj. do terénu, pod podlahy nebo zásypů kleneb. </w:t>
      </w:r>
    </w:p>
    <w:p w14:paraId="15433873" w14:textId="77777777" w:rsidR="00B1452C" w:rsidRDefault="0082023E">
      <w:pPr>
        <w:numPr>
          <w:ilvl w:val="1"/>
          <w:numId w:val="8"/>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je po skončení nájemního vztahu povinen odevzdat předmět nájmu v takovém stavu, v jakém mu byl předán při zohlednění obvyklého opotřebení při řádném užívání a odstranit veškeré změny a úpravy. Dohodnou-li se smluvní strany, že změny a úpravy provedené na předmětu nájmu mohou být </w:t>
      </w:r>
      <w:r>
        <w:rPr>
          <w:rFonts w:ascii="Calibri" w:eastAsia="Calibri" w:hAnsi="Calibri" w:cs="Calibri"/>
          <w:color w:val="000000"/>
          <w:sz w:val="22"/>
          <w:szCs w:val="22"/>
        </w:rPr>
        <w:lastRenderedPageBreak/>
        <w:t>ponechány, nemá nájemce nárok na jakékoliv vypořádání z důvodů možného zhodnocení předmětu nájmu.</w:t>
      </w:r>
    </w:p>
    <w:p w14:paraId="4ED94DFF"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01920EA6"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Práva a povinnosti pronajímatele</w:t>
      </w:r>
    </w:p>
    <w:p w14:paraId="5B48B611"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je povinen zajistit řádný a nerušený výkon nájemních práv nájemce po celou dobu nájemního vztahu, aby bylo možno dosáhnout účelu nájmu.</w:t>
      </w:r>
    </w:p>
    <w:p w14:paraId="0F7D9A20"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Pronajímatele a jím pověření zaměstnanci jsou oprávněni vstoupit do předmětu nájmu, a to v době, kdy se v těchto prostorách nachází jakýkoliv pracovník nájemce, a to zejména za účelem kontroly dodržování podmínek této smlouvy, jakož i provádění údržby, nutných oprav či provádění kontroly elektrického, plynového, vodovodního a dalšího vedení. Není-li možné do prostor vstoupit, vyzve pronajímatel nájemce ke zpřístupnění prostor a poskytne mu k tomu přiměřenou lhůtu. Po uplynutí lhůty může pronajímatel do předmětu nájmu vstoupit a provést zamýšlené činnosti.</w:t>
      </w:r>
    </w:p>
    <w:p w14:paraId="608E6470"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a jím pověření zaměstnanci jsou oprávněni vstoupit do předmětu nájmu i v případech, kdy to vyžaduje náhle vzniklý havarijní stav či jiná podobná skutečnost. O tomto musí pronajímatel nájemce neprodleně uvědomit ihned po takovémto vstupu do předmětu nájmu, jestliže nebylo možno nájemce informovat předem. Rovněž v případě, že pronajímatel bude požádán o provedení drobných úprav v předmětu nájmu, je oprávněn takto provést i bez přítomnosti pracovníka nájemce, jestliže nemá možnost provést tuto opravu v jiném čase a na tuto skutečnost nájemce upozorní.</w:t>
      </w:r>
    </w:p>
    <w:p w14:paraId="51AFF9F9"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bere na vědomí, že pronajímatel bude mít v držení náhradní klíče k předmětu nájmu a nájemce není oprávněn provést bez písemného souhlasu pronajímatele výměnu zámků. Všechny předané klíče, případně i jejich kopie, odevzdá nájemce zpět pronajímateli při předání předmětu nájmu po skončení nájmu bez nároku na náhradu nákladů spojených s jejich pořízením.</w:t>
      </w:r>
    </w:p>
    <w:p w14:paraId="6715A4C4" w14:textId="77777777" w:rsidR="00B1452C"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má právo v rámci definovaného účelu nájmu dle čl. III této nájemní smlouvy nájemci písemně zakázat prodej některého druhu zboží nebo poskytování určitých služeb, které jsou například nevhodné s ohledem na charakter areálu, ve kterém je předmět nájmu umístěn, nebo jsou v rozporu s povahou, posláním a zájmy pronajímatele. </w:t>
      </w:r>
    </w:p>
    <w:p w14:paraId="445ECED7" w14:textId="77777777" w:rsidR="00B1452C" w:rsidRPr="00B17B48"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má právo v rámci definovaného účelu nájmu dle čl. III této nájemní smlouvy nájemci </w:t>
      </w:r>
      <w:r w:rsidRPr="00B17B48">
        <w:rPr>
          <w:rFonts w:ascii="Calibri" w:eastAsia="Calibri" w:hAnsi="Calibri" w:cs="Calibri"/>
          <w:color w:val="000000"/>
          <w:sz w:val="22"/>
          <w:szCs w:val="22"/>
        </w:rPr>
        <w:t>písemně určit minimální rozsah nabízeného zboží, služeb nebo jejich minimální kvalitu.</w:t>
      </w:r>
    </w:p>
    <w:p w14:paraId="0A7396E4" w14:textId="77C40E79" w:rsidR="00B1452C" w:rsidRPr="00B17B48" w:rsidRDefault="0082023E">
      <w:pPr>
        <w:numPr>
          <w:ilvl w:val="1"/>
          <w:numId w:val="7"/>
        </w:numPr>
        <w:pBdr>
          <w:top w:val="nil"/>
          <w:left w:val="nil"/>
          <w:bottom w:val="nil"/>
          <w:right w:val="nil"/>
          <w:between w:val="nil"/>
        </w:pBdr>
        <w:spacing w:after="60"/>
        <w:jc w:val="both"/>
        <w:rPr>
          <w:rFonts w:ascii="Calibri" w:eastAsia="Calibri" w:hAnsi="Calibri" w:cs="Calibri"/>
          <w:color w:val="000000"/>
          <w:sz w:val="22"/>
          <w:szCs w:val="22"/>
        </w:rPr>
      </w:pPr>
      <w:r w:rsidRPr="00B17B48">
        <w:rPr>
          <w:rFonts w:ascii="Calibri" w:eastAsia="Calibri" w:hAnsi="Calibri" w:cs="Calibri"/>
          <w:color w:val="000000"/>
          <w:sz w:val="22"/>
          <w:szCs w:val="22"/>
        </w:rPr>
        <w:t xml:space="preserve">Nájemce je povinen v případě porušení podmínek stanovených pronajímatelem dle předchozích </w:t>
      </w:r>
      <w:r w:rsidR="00B17B48" w:rsidRPr="00B17B48">
        <w:rPr>
          <w:rFonts w:ascii="Calibri" w:eastAsia="Calibri" w:hAnsi="Calibri" w:cs="Calibri"/>
          <w:color w:val="000000"/>
          <w:sz w:val="22"/>
          <w:szCs w:val="22"/>
        </w:rPr>
        <w:t>dvou</w:t>
      </w:r>
      <w:r w:rsidRPr="00B17B48">
        <w:rPr>
          <w:rFonts w:ascii="Calibri" w:eastAsia="Calibri" w:hAnsi="Calibri" w:cs="Calibri"/>
          <w:color w:val="000000"/>
          <w:sz w:val="22"/>
          <w:szCs w:val="22"/>
        </w:rPr>
        <w:t xml:space="preserve"> odstavců uhradit smluvní pokutu ve výši 500</w:t>
      </w:r>
      <w:r w:rsidR="00657917">
        <w:rPr>
          <w:rFonts w:ascii="Calibri" w:eastAsia="Calibri" w:hAnsi="Calibri" w:cs="Calibri"/>
          <w:color w:val="000000"/>
          <w:sz w:val="22"/>
          <w:szCs w:val="22"/>
        </w:rPr>
        <w:t>,-</w:t>
      </w:r>
      <w:r w:rsidRPr="00B17B48">
        <w:rPr>
          <w:rFonts w:ascii="Calibri" w:eastAsia="Calibri" w:hAnsi="Calibri" w:cs="Calibri"/>
          <w:color w:val="000000"/>
          <w:sz w:val="22"/>
          <w:szCs w:val="22"/>
        </w:rPr>
        <w:t xml:space="preserve"> Kč za každý takovýto případ.</w:t>
      </w:r>
    </w:p>
    <w:p w14:paraId="0F7059AF"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642D5288"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Práva a povinnosti nájemce</w:t>
      </w:r>
    </w:p>
    <w:p w14:paraId="39C421F2"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je povinen umožnit pronajímateli výkon jeho práv vyplývajících z této nájemní smlouvy a obecně závazných předpisů.</w:t>
      </w:r>
    </w:p>
    <w:p w14:paraId="4FE9EB91" w14:textId="77777777" w:rsidR="00B17B48" w:rsidRPr="00B17B48" w:rsidRDefault="0082023E" w:rsidP="00657917">
      <w:pPr>
        <w:pStyle w:val="odstavce"/>
        <w:ind w:firstLine="0"/>
        <w:rPr>
          <w:rFonts w:cs="Arial"/>
          <w:lang w:val="cs-CZ"/>
        </w:rPr>
      </w:pPr>
      <w:r>
        <w:rPr>
          <w:rFonts w:eastAsia="Calibri" w:cs="Calibri"/>
          <w:color w:val="000000"/>
        </w:rPr>
        <w:t xml:space="preserve">Nájemce je povinen na svůj náklad provádět běžnou údržbu předmětu nájmu. </w:t>
      </w:r>
      <w:r w:rsidRPr="00B17B48">
        <w:rPr>
          <w:rFonts w:eastAsia="Calibri" w:cs="Calibri"/>
          <w:color w:val="000000"/>
        </w:rPr>
        <w:t xml:space="preserve">Mezi běžnou údržbu se řadí například: </w:t>
      </w:r>
    </w:p>
    <w:p w14:paraId="5BFEFFBA" w14:textId="77777777" w:rsidR="00B17B48" w:rsidRPr="005A4CE5" w:rsidRDefault="00B17B48" w:rsidP="00B17B48">
      <w:pPr>
        <w:pStyle w:val="odstavce"/>
        <w:numPr>
          <w:ilvl w:val="0"/>
          <w:numId w:val="18"/>
        </w:numPr>
        <w:rPr>
          <w:rFonts w:cs="Arial"/>
          <w:lang w:val="cs-CZ"/>
        </w:rPr>
      </w:pPr>
      <w:r w:rsidRPr="005A4CE5">
        <w:rPr>
          <w:rFonts w:cs="Arial"/>
          <w:lang w:val="cs-CZ"/>
        </w:rPr>
        <w:t>drobné opravy vnitřních maleb a omítek, vč. oprav obkladů stěn,</w:t>
      </w:r>
    </w:p>
    <w:p w14:paraId="60A56B8B" w14:textId="77777777" w:rsidR="00B17B48" w:rsidRPr="005A4CE5" w:rsidRDefault="00B17B48" w:rsidP="00B17B48">
      <w:pPr>
        <w:pStyle w:val="odstavce"/>
        <w:numPr>
          <w:ilvl w:val="0"/>
          <w:numId w:val="18"/>
        </w:numPr>
        <w:rPr>
          <w:rFonts w:cs="Arial"/>
          <w:lang w:val="cs-CZ"/>
        </w:rPr>
      </w:pPr>
      <w:r w:rsidRPr="005A4CE5">
        <w:rPr>
          <w:rFonts w:cs="Arial"/>
          <w:lang w:val="cs-CZ"/>
        </w:rPr>
        <w:t xml:space="preserve">opravy vnitřních instalací, zdrojů teplé vody, elektrozařízení a zdrojů světla, </w:t>
      </w:r>
    </w:p>
    <w:p w14:paraId="451B9FB1" w14:textId="77777777" w:rsidR="00B17B48" w:rsidRPr="005A4CE5" w:rsidRDefault="00B17B48" w:rsidP="00B17B48">
      <w:pPr>
        <w:pStyle w:val="odstavce"/>
        <w:numPr>
          <w:ilvl w:val="0"/>
          <w:numId w:val="18"/>
        </w:numPr>
        <w:rPr>
          <w:rFonts w:cs="Arial"/>
          <w:lang w:val="cs-CZ"/>
        </w:rPr>
      </w:pPr>
      <w:r w:rsidRPr="005A4CE5">
        <w:rPr>
          <w:rFonts w:cs="Arial"/>
          <w:lang w:val="cs-CZ"/>
        </w:rPr>
        <w:t>oprava a výměna zdravotechniky, sanitárních zařízení a zdrojů teplé vody,</w:t>
      </w:r>
    </w:p>
    <w:p w14:paraId="34570207" w14:textId="4F8A6CF0" w:rsidR="00B1452C" w:rsidRPr="00B17B48" w:rsidRDefault="00B015C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sidRPr="00B17B48">
        <w:rPr>
          <w:rFonts w:ascii="Calibri" w:eastAsia="Calibri" w:hAnsi="Calibri" w:cs="Calibri"/>
          <w:color w:val="000000"/>
          <w:sz w:val="22"/>
          <w:szCs w:val="22"/>
        </w:rPr>
        <w:t>Nájemce bude provádět drobné opravy předmětu nájmu, a to ty, náklady na jejichž provedení nepřesáhnou částku 3000</w:t>
      </w:r>
      <w:r w:rsidR="00657917">
        <w:rPr>
          <w:rFonts w:ascii="Calibri" w:eastAsia="Calibri" w:hAnsi="Calibri" w:cs="Calibri"/>
          <w:color w:val="000000"/>
          <w:sz w:val="22"/>
          <w:szCs w:val="22"/>
        </w:rPr>
        <w:t>,-</w:t>
      </w:r>
      <w:r w:rsidRPr="00B17B48">
        <w:rPr>
          <w:rFonts w:ascii="Calibri" w:eastAsia="Calibri" w:hAnsi="Calibri" w:cs="Calibri"/>
          <w:color w:val="000000"/>
          <w:sz w:val="22"/>
          <w:szCs w:val="22"/>
        </w:rPr>
        <w:t xml:space="preserve"> Kč v každém jednotlivém případě.</w:t>
      </w:r>
    </w:p>
    <w:p w14:paraId="08F59A77"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je povinen oznámit bez zbytečného odkladu pronajímateli potřebu oprav, které má pronajímatel provést a umožnit provedení těchto i jiných nezbytných oprav; jinak nájemce odpovídá za škodu, která nesplněním povinnosti pronajímateli vznikla.</w:t>
      </w:r>
    </w:p>
    <w:p w14:paraId="51338B7D"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Nájemce bere na vědomí, že předmět nájmu je součástí památkově chráněného objektu a zavazuje se dodržovat všechny obecně závazné právní předpisy, zejména předpisy na úseku památkové péče, bezpečnostní a protipožární předpisy. Nájemce zajistí nepřetržitou pořadatelskou a protipožární službu.</w:t>
      </w:r>
    </w:p>
    <w:p w14:paraId="417B2675"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v předmětu nájmu zajišťuje bezpečnost a ochranu zdraví svých zaměstnanců při práci s ohledem na rizika možného ohrožení jejich života a zdraví, která se týkají výkonu práce (dále jen „rizika“), jakož i bezpečnost dalších osob v předmětu nájmu se nacházejících, a požární ochranu ve smyslu obecně závazných předpisů a je odpovědný za dodržování ustanovení těchto předpisů a za škody, které vzniknou jeho činností nebo v souvislosti s touto činností. Nájemce je povinen informovat pronajímatele o rizicích a opatřeních přijatých k ochraně před jejich působením. </w:t>
      </w:r>
    </w:p>
    <w:p w14:paraId="2C7F2D7F" w14:textId="662CADD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má právo provádět kontrolu zabezpečování bezpečnosti práce a protipožární ochrany. Nájemce je povinen být př</w:t>
      </w:r>
      <w:r w:rsidR="00B015CE">
        <w:rPr>
          <w:rFonts w:ascii="Calibri" w:eastAsia="Calibri" w:hAnsi="Calibri" w:cs="Calibri"/>
          <w:color w:val="000000"/>
          <w:sz w:val="22"/>
          <w:szCs w:val="22"/>
        </w:rPr>
        <w:t>i</w:t>
      </w:r>
      <w:r>
        <w:rPr>
          <w:rFonts w:ascii="Calibri" w:eastAsia="Calibri" w:hAnsi="Calibri" w:cs="Calibri"/>
          <w:color w:val="000000"/>
          <w:sz w:val="22"/>
          <w:szCs w:val="22"/>
        </w:rPr>
        <w:t xml:space="preserve"> kontrolách součinný.</w:t>
      </w:r>
    </w:p>
    <w:p w14:paraId="2601368F"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se zavazuje během užívání předmětu nájmu dodržovat organizační a bezpečnostní pokyny odpovědných zaměstnanců pronajímatele.</w:t>
      </w:r>
    </w:p>
    <w:p w14:paraId="1796C220"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si bude počínat tak, aby nedošlo ke škodě na majetku pronajímatele, na majetku a zdraví dalších osob. Jakékoliv závady nebo škodní události bude neprodleně hlásit pronajímateli.</w:t>
      </w:r>
    </w:p>
    <w:p w14:paraId="0DA2059E"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odpovídá za všechny osoby, kterým umožní přístup do předmětu nájmu. Nájemce odpovídá za škodu, které tyto osoby způsobí.</w:t>
      </w:r>
    </w:p>
    <w:p w14:paraId="1BBE3686"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Nájemce se zavazuje dodržovat a zajistit, že v předmětu nájmu nebude používán otevřený oheň a nebude se kouřit (s výjimkou k tomu vyhrazených míst, které určí pronajímatel).</w:t>
      </w:r>
    </w:p>
    <w:p w14:paraId="6B3E6807"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V případě veřejného provozování autorských děl (živě nebo z nosičů) nájemcem je nájemce povinen uzavřít s příslušným správcem autorských práv smlouvu o užití díla (licenční smlouvu) a uhradit tomuto správci autorských práv poplatky dle platných sazebníků příslušného správce.</w:t>
      </w:r>
    </w:p>
    <w:p w14:paraId="5429BAF8"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neodpovídá za škody na majetku vneseném nájemcem do předmětu nájmu a ani za škody na majetku vneseném do předmětu nájmu jinými osobami se souhlasem nájemce.</w:t>
      </w:r>
    </w:p>
    <w:p w14:paraId="5FF6A19F" w14:textId="77777777" w:rsidR="00B1452C" w:rsidRDefault="0082023E">
      <w:pPr>
        <w:numPr>
          <w:ilvl w:val="1"/>
          <w:numId w:val="9"/>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neodpovídá za bezpečnost, zdraví a majetek osob, které se zdržují v předmětu nájmu a ani za škody osobám vzniklé při provozování činnosti uvedené v čl. III této smlouvy.</w:t>
      </w:r>
    </w:p>
    <w:p w14:paraId="13A32F53" w14:textId="11DEEF3F" w:rsidR="00B1452C" w:rsidRPr="00B17B48" w:rsidRDefault="0082023E">
      <w:pPr>
        <w:numPr>
          <w:ilvl w:val="1"/>
          <w:numId w:val="9"/>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B17B48">
        <w:rPr>
          <w:rFonts w:asciiTheme="majorHAnsi" w:eastAsia="Calibri" w:hAnsiTheme="majorHAnsi" w:cstheme="majorHAnsi"/>
          <w:color w:val="000000"/>
          <w:sz w:val="22"/>
          <w:szCs w:val="22"/>
        </w:rPr>
        <w:t>Pronajímatel neodpovídá za škody způsobené nájemci v důsledku živelné události.</w:t>
      </w:r>
    </w:p>
    <w:p w14:paraId="2B259A85" w14:textId="77777777" w:rsidR="00B17B48" w:rsidRPr="00B17B48" w:rsidRDefault="00B17B48" w:rsidP="00B17B48">
      <w:pPr>
        <w:numPr>
          <w:ilvl w:val="1"/>
          <w:numId w:val="9"/>
        </w:numPr>
        <w:jc w:val="both"/>
        <w:rPr>
          <w:rFonts w:asciiTheme="majorHAnsi" w:hAnsiTheme="majorHAnsi" w:cstheme="majorHAnsi"/>
          <w:sz w:val="22"/>
          <w:szCs w:val="22"/>
          <w:lang w:eastAsia="x-none"/>
        </w:rPr>
      </w:pPr>
      <w:r w:rsidRPr="00B17B48">
        <w:rPr>
          <w:rFonts w:asciiTheme="majorHAnsi" w:hAnsiTheme="majorHAnsi" w:cstheme="majorHAnsi"/>
          <w:sz w:val="22"/>
          <w:szCs w:val="22"/>
          <w:lang w:eastAsia="x-none"/>
        </w:rPr>
        <w:t>Nájemce bere tímto na vědomí, že do areálu SZ Rájec platí zákaz vjezdu všech motorových vozidel. Výjimky z tohoto zákazu jsou možné pouze po předchozí dohodě s vedoucím správy SZ Rájec. Nájemce tak bude parkovat své vozidlo pouze na místě, které je určeno pro parkování vozidel správy zámku.</w:t>
      </w:r>
    </w:p>
    <w:p w14:paraId="308CF87D" w14:textId="5CA5A240" w:rsidR="00B17B48" w:rsidRPr="00B17B48" w:rsidRDefault="00B17B48" w:rsidP="00B17B48">
      <w:pPr>
        <w:numPr>
          <w:ilvl w:val="1"/>
          <w:numId w:val="9"/>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B17B48">
        <w:rPr>
          <w:rFonts w:asciiTheme="majorHAnsi" w:hAnsiTheme="majorHAnsi" w:cstheme="majorHAnsi"/>
          <w:sz w:val="22"/>
          <w:szCs w:val="22"/>
          <w:lang w:eastAsia="x-none"/>
        </w:rPr>
        <w:t>Nesplnění kterékoliv z povinností stanovených nájemci v tomto článku je považováno za porušení povinností nájemce podle této smlouvy a zakládá důvod pro odstoupení od smlouvy ze strany pronajímatele</w:t>
      </w:r>
    </w:p>
    <w:p w14:paraId="765B3F77" w14:textId="35D9EB27" w:rsidR="00B1452C" w:rsidRPr="00B17B48" w:rsidRDefault="0082023E">
      <w:pPr>
        <w:numPr>
          <w:ilvl w:val="1"/>
          <w:numId w:val="9"/>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B17B48">
        <w:rPr>
          <w:rFonts w:asciiTheme="majorHAnsi" w:eastAsia="Calibri" w:hAnsiTheme="majorHAnsi" w:cstheme="majorHAnsi"/>
          <w:color w:val="000000"/>
          <w:sz w:val="22"/>
          <w:szCs w:val="22"/>
        </w:rPr>
        <w:t xml:space="preserve">Nájemce bere na vědomí, že v areálu objektu je instalován kamerový systém a dochází tak ke zpracování osobních údajů osob, které vstupují do monitorovaného prostoru. Pronajímatel při jejich zpracování postupuje dle platných právních předpisů. </w:t>
      </w:r>
    </w:p>
    <w:p w14:paraId="259EC0E7"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highlight w:val="lightGray"/>
        </w:rPr>
      </w:pPr>
    </w:p>
    <w:p w14:paraId="565B1D62"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Doba nájmu a ukončení nájmu</w:t>
      </w:r>
    </w:p>
    <w:p w14:paraId="00830CAD" w14:textId="10B78FF6"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bookmarkStart w:id="4" w:name="1t3h5sf" w:colFirst="0" w:colLast="0"/>
      <w:bookmarkEnd w:id="4"/>
      <w:r>
        <w:rPr>
          <w:rFonts w:ascii="Calibri" w:eastAsia="Calibri" w:hAnsi="Calibri" w:cs="Calibri"/>
          <w:color w:val="000000"/>
          <w:sz w:val="22"/>
          <w:szCs w:val="22"/>
        </w:rPr>
        <w:t xml:space="preserve">Tato smlouva se uzavírá na dobu určitou, </w:t>
      </w:r>
      <w:r w:rsidRPr="00B17B48">
        <w:rPr>
          <w:rFonts w:ascii="Calibri" w:eastAsia="Calibri" w:hAnsi="Calibri" w:cs="Calibri"/>
          <w:b/>
          <w:bCs/>
          <w:color w:val="000000"/>
          <w:sz w:val="22"/>
          <w:szCs w:val="22"/>
        </w:rPr>
        <w:t>a to od</w:t>
      </w:r>
      <w:r w:rsidR="00B17B48" w:rsidRPr="00B17B48">
        <w:rPr>
          <w:rFonts w:ascii="Calibri" w:eastAsia="Calibri" w:hAnsi="Calibri" w:cs="Calibri"/>
          <w:b/>
          <w:bCs/>
          <w:color w:val="000000"/>
          <w:sz w:val="22"/>
          <w:szCs w:val="22"/>
        </w:rPr>
        <w:t xml:space="preserve"> </w:t>
      </w:r>
      <w:r w:rsidR="00BD0B03">
        <w:rPr>
          <w:rFonts w:ascii="Calibri" w:eastAsia="Calibri" w:hAnsi="Calibri" w:cs="Calibri"/>
          <w:b/>
          <w:bCs/>
          <w:color w:val="000000"/>
          <w:sz w:val="22"/>
          <w:szCs w:val="22"/>
        </w:rPr>
        <w:t>2</w:t>
      </w:r>
      <w:r w:rsidR="00B17B48" w:rsidRPr="00B17B48">
        <w:rPr>
          <w:rFonts w:ascii="Calibri" w:eastAsia="Calibri" w:hAnsi="Calibri" w:cs="Calibri"/>
          <w:b/>
          <w:bCs/>
          <w:color w:val="000000"/>
          <w:sz w:val="22"/>
          <w:szCs w:val="22"/>
        </w:rPr>
        <w:t>. 11. 2026</w:t>
      </w:r>
      <w:bookmarkStart w:id="5" w:name="4d34og8" w:colFirst="0" w:colLast="0"/>
      <w:bookmarkEnd w:id="5"/>
      <w:r w:rsidRPr="00B17B48">
        <w:rPr>
          <w:rFonts w:ascii="Calibri" w:eastAsia="Calibri" w:hAnsi="Calibri" w:cs="Calibri"/>
          <w:b/>
          <w:bCs/>
          <w:color w:val="000000"/>
          <w:sz w:val="22"/>
          <w:szCs w:val="22"/>
        </w:rPr>
        <w:t xml:space="preserve"> do </w:t>
      </w:r>
      <w:r w:rsidR="00B17B48" w:rsidRPr="00B17B48">
        <w:rPr>
          <w:rFonts w:ascii="Calibri" w:eastAsia="Calibri" w:hAnsi="Calibri" w:cs="Calibri"/>
          <w:b/>
          <w:bCs/>
          <w:color w:val="000000"/>
          <w:sz w:val="22"/>
          <w:szCs w:val="22"/>
        </w:rPr>
        <w:t>31. 10. 2029</w:t>
      </w:r>
      <w:r w:rsidRPr="00B17B48">
        <w:rPr>
          <w:rFonts w:ascii="Calibri" w:eastAsia="Calibri" w:hAnsi="Calibri" w:cs="Calibri"/>
          <w:b/>
          <w:bCs/>
          <w:color w:val="000000"/>
          <w:sz w:val="22"/>
          <w:szCs w:val="22"/>
        </w:rPr>
        <w:t>.</w:t>
      </w:r>
    </w:p>
    <w:p w14:paraId="3E89F4AE" w14:textId="62C06A60" w:rsidR="00B1452C" w:rsidRPr="0086601D" w:rsidRDefault="00B17B48">
      <w:pPr>
        <w:numPr>
          <w:ilvl w:val="1"/>
          <w:numId w:val="12"/>
        </w:numPr>
        <w:pBdr>
          <w:top w:val="nil"/>
          <w:left w:val="nil"/>
          <w:bottom w:val="nil"/>
          <w:right w:val="nil"/>
          <w:between w:val="nil"/>
        </w:pBdr>
        <w:spacing w:after="60"/>
        <w:jc w:val="both"/>
        <w:rPr>
          <w:rFonts w:asciiTheme="majorHAnsi" w:eastAsia="Calibri" w:hAnsiTheme="majorHAnsi" w:cstheme="majorHAnsi"/>
          <w:color w:val="000000"/>
          <w:sz w:val="22"/>
          <w:szCs w:val="22"/>
        </w:rPr>
      </w:pPr>
      <w:r w:rsidRPr="0086601D">
        <w:rPr>
          <w:rFonts w:asciiTheme="majorHAnsi" w:hAnsiTheme="majorHAnsi" w:cstheme="majorHAnsi"/>
          <w:sz w:val="22"/>
          <w:szCs w:val="22"/>
        </w:rPr>
        <w:t>Smluvní strany mohou smlouvu vypovědět v souladu s § 2308 a § 2309 zákona č. 89/2012 Sb., občanský zákoník, ve znění pozdějších předpisů, s výpovědní lhůtou 30 dní. Výpověď musí být písemná a musí být uveden její důvod, jinak je neplatná. Výpovědní doba běží od prvního dne kalendářního dne (v případě výpovědní doby počítané ve dnech)</w:t>
      </w:r>
      <w:r w:rsidR="00E27B66">
        <w:rPr>
          <w:rFonts w:asciiTheme="majorHAnsi" w:hAnsiTheme="majorHAnsi" w:cstheme="majorHAnsi"/>
          <w:sz w:val="22"/>
          <w:szCs w:val="22"/>
        </w:rPr>
        <w:t xml:space="preserve"> </w:t>
      </w:r>
      <w:r w:rsidRPr="0086601D">
        <w:rPr>
          <w:rFonts w:asciiTheme="majorHAnsi" w:hAnsiTheme="majorHAnsi" w:cstheme="majorHAnsi"/>
          <w:sz w:val="22"/>
          <w:szCs w:val="22"/>
        </w:rPr>
        <w:t>následujícího poté, co výpověď došla druhé straně</w:t>
      </w:r>
      <w:r w:rsidR="0082023E" w:rsidRPr="0086601D">
        <w:rPr>
          <w:rFonts w:asciiTheme="majorHAnsi" w:eastAsia="Calibri" w:hAnsiTheme="majorHAnsi" w:cstheme="majorHAnsi"/>
          <w:color w:val="000000"/>
          <w:sz w:val="22"/>
          <w:szCs w:val="22"/>
        </w:rPr>
        <w:t>.</w:t>
      </w:r>
    </w:p>
    <w:p w14:paraId="4D7C9B04" w14:textId="77777777" w:rsidR="00B1452C" w:rsidRPr="0086601D"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Pronajímatel je oprávněn písemně vypovědět nájem bez výpovědní doby v případech dle občanského zákoníku a dále v případech, kdy nájemce porušuje své povinnosti zvlášť závažným způsobem. Za zvlášť </w:t>
      </w:r>
      <w:r w:rsidRPr="0086601D">
        <w:rPr>
          <w:rFonts w:ascii="Calibri" w:eastAsia="Calibri" w:hAnsi="Calibri" w:cs="Calibri"/>
          <w:color w:val="000000"/>
          <w:sz w:val="22"/>
          <w:szCs w:val="22"/>
        </w:rPr>
        <w:t>závažné porušení povinností nájemcem se považuje zejména:</w:t>
      </w:r>
    </w:p>
    <w:p w14:paraId="4053CBA9" w14:textId="71D9127E" w:rsidR="00B1452C" w:rsidRPr="0086601D"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sidRPr="0086601D">
        <w:rPr>
          <w:rFonts w:ascii="Calibri" w:eastAsia="Calibri" w:hAnsi="Calibri" w:cs="Calibri"/>
          <w:color w:val="000000"/>
          <w:sz w:val="22"/>
          <w:szCs w:val="22"/>
        </w:rPr>
        <w:lastRenderedPageBreak/>
        <w:t xml:space="preserve">jestliže nájemce užívá předmět nájmu jiným způsobem nebo k jinému než sjednanému účelu, nebo nedodržuje závazné podmínky stanovené pro užívání předmětu nájmu </w:t>
      </w:r>
    </w:p>
    <w:p w14:paraId="69B8D8C0" w14:textId="77777777" w:rsidR="00B1452C" w:rsidRPr="0086601D"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sidRPr="0086601D">
        <w:rPr>
          <w:rFonts w:ascii="Calibri" w:eastAsia="Calibri" w:hAnsi="Calibri" w:cs="Calibri"/>
          <w:color w:val="000000"/>
          <w:sz w:val="22"/>
          <w:szCs w:val="22"/>
        </w:rPr>
        <w:t>jestliže nájemce poškozuje předmět nájmu závažným nebo nenapravitelným způsobem nebo způsobí-li jinak závažnou škodu na předmětu nájmu,</w:t>
      </w:r>
    </w:p>
    <w:p w14:paraId="73602D17" w14:textId="77777777" w:rsidR="00B1452C" w:rsidRPr="0086601D" w:rsidRDefault="0082023E">
      <w:pPr>
        <w:numPr>
          <w:ilvl w:val="2"/>
          <w:numId w:val="12"/>
        </w:numPr>
        <w:pBdr>
          <w:top w:val="nil"/>
          <w:left w:val="nil"/>
          <w:bottom w:val="nil"/>
          <w:right w:val="nil"/>
          <w:between w:val="nil"/>
        </w:pBdr>
        <w:spacing w:after="60"/>
        <w:jc w:val="both"/>
        <w:rPr>
          <w:rFonts w:ascii="Calibri" w:eastAsia="Calibri" w:hAnsi="Calibri" w:cs="Calibri"/>
          <w:color w:val="000000"/>
          <w:sz w:val="22"/>
          <w:szCs w:val="22"/>
        </w:rPr>
      </w:pPr>
      <w:r w:rsidRPr="0086601D">
        <w:rPr>
          <w:rFonts w:ascii="Calibri" w:eastAsia="Calibri" w:hAnsi="Calibri" w:cs="Calibri"/>
          <w:color w:val="000000"/>
          <w:sz w:val="22"/>
          <w:szCs w:val="22"/>
        </w:rPr>
        <w:t xml:space="preserve">jestliže nájemce bude v prodlení s placením nájemného a služeb spojených s nájmem po dobu delší 15 dnů. </w:t>
      </w:r>
    </w:p>
    <w:p w14:paraId="4BAEC869"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Při výpovědi bez výpovědní doby zaniká nájem dnem následujícím po doručení výpovědi druhé smluvní straně.</w:t>
      </w:r>
    </w:p>
    <w:p w14:paraId="0B4B4422"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Pronajímatel má rovněž možnost písemně odstoupit od nájemní smlouvy, pokud přestanou být plněny podmínky podle článku I. odst. 2. smlouvy. Nájem zaniká dnem následujícím po doručení písemného odstoupení nájemci.</w:t>
      </w:r>
    </w:p>
    <w:p w14:paraId="6181739D" w14:textId="29EB5EA3" w:rsidR="00B1452C" w:rsidRPr="0086601D"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 xml:space="preserve">Nájemce je povinen předmět nájmu vyklidit a předat nejpozději den následující po ukončení nájemního vztahu s tím, že o předání bude v případě požadavku pronajímatelem vypracován písemný zápis. V případě prodlení se splněním povinnosti vyklidit a předat předmět nájmu nebo jeho část, uhradí nájemce smluvní </w:t>
      </w:r>
      <w:r w:rsidRPr="0086601D">
        <w:rPr>
          <w:rFonts w:ascii="Calibri" w:eastAsia="Calibri" w:hAnsi="Calibri" w:cs="Calibri"/>
          <w:color w:val="000000"/>
          <w:sz w:val="22"/>
          <w:szCs w:val="22"/>
        </w:rPr>
        <w:t xml:space="preserve">pokutu </w:t>
      </w:r>
      <w:r w:rsidR="00657917">
        <w:rPr>
          <w:rFonts w:ascii="Calibri" w:eastAsia="Calibri" w:hAnsi="Calibri" w:cs="Calibri"/>
          <w:color w:val="000000"/>
          <w:sz w:val="22"/>
          <w:szCs w:val="22"/>
        </w:rPr>
        <w:t>500</w:t>
      </w:r>
      <w:r w:rsidRPr="0086601D">
        <w:rPr>
          <w:rFonts w:ascii="Calibri" w:eastAsia="Calibri" w:hAnsi="Calibri" w:cs="Calibri"/>
          <w:color w:val="000000"/>
          <w:sz w:val="22"/>
          <w:szCs w:val="22"/>
        </w:rPr>
        <w:t xml:space="preserve">,- Kč za každý den prodlení se splněním této povinnosti a to bez ohledu na jeho zavinění. </w:t>
      </w:r>
    </w:p>
    <w:p w14:paraId="3E3D2EC5"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Smluvní strany si sjednávají, že při skončení nájmu se nepoužije ust. § 2315 zákona č. 89/2012 Sb., občanský zákoník, ve znění pozdějších předpisů, o náhradě za převzetí zákaznické základny.</w:t>
      </w:r>
    </w:p>
    <w:p w14:paraId="4C380226"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Pokud se po skončení trvání smlouvy nacházejí v předmětu nájmu jakékoli věci, které do předmětu nájmu vnesl nájemce, a nájemce je neodstraní ani na základě písemné výzvy pronajímatele, platí, že tyto věci jejich původní vlastník zjevně opustil a pronajímatel s nimi může naložit podle svého uvážení; může si je i přivlastnit, či je zlikvidovat na náklady nájemce.</w:t>
      </w:r>
    </w:p>
    <w:p w14:paraId="1BB749B1" w14:textId="77777777" w:rsidR="00B1452C" w:rsidRDefault="0082023E">
      <w:pPr>
        <w:numPr>
          <w:ilvl w:val="1"/>
          <w:numId w:val="12"/>
        </w:numPr>
        <w:pBdr>
          <w:top w:val="nil"/>
          <w:left w:val="nil"/>
          <w:bottom w:val="nil"/>
          <w:right w:val="nil"/>
          <w:between w:val="nil"/>
        </w:pBdr>
        <w:spacing w:after="60"/>
        <w:jc w:val="both"/>
        <w:rPr>
          <w:rFonts w:ascii="Calibri" w:eastAsia="Calibri" w:hAnsi="Calibri" w:cs="Calibri"/>
          <w:color w:val="000000"/>
          <w:sz w:val="22"/>
          <w:szCs w:val="22"/>
        </w:rPr>
      </w:pPr>
      <w:r>
        <w:rPr>
          <w:rFonts w:ascii="Calibri" w:eastAsia="Calibri" w:hAnsi="Calibri" w:cs="Calibri"/>
          <w:color w:val="000000"/>
          <w:sz w:val="22"/>
          <w:szCs w:val="22"/>
        </w:rPr>
        <w:t>Smluvní strany sjednaly, že ust. § 2230 zákona č. 89/2012 Sb., občanský zákoník, v platném znění, o automatickém prodloužení nájmu se neuplatní.</w:t>
      </w:r>
    </w:p>
    <w:p w14:paraId="6192D5A1" w14:textId="77777777" w:rsidR="00B1452C" w:rsidRDefault="00B1452C">
      <w:pPr>
        <w:pBdr>
          <w:top w:val="nil"/>
          <w:left w:val="nil"/>
          <w:bottom w:val="nil"/>
          <w:right w:val="nil"/>
          <w:between w:val="nil"/>
        </w:pBdr>
        <w:spacing w:after="60"/>
        <w:ind w:left="425" w:hanging="425"/>
        <w:jc w:val="both"/>
        <w:rPr>
          <w:rFonts w:ascii="Calibri" w:eastAsia="Calibri" w:hAnsi="Calibri" w:cs="Calibri"/>
          <w:color w:val="000000"/>
          <w:sz w:val="22"/>
          <w:szCs w:val="22"/>
        </w:rPr>
      </w:pPr>
    </w:p>
    <w:p w14:paraId="591A6285" w14:textId="77777777" w:rsidR="00B1452C" w:rsidRDefault="0082023E">
      <w:pPr>
        <w:keepNext/>
        <w:keepLines/>
        <w:widowControl w:val="0"/>
        <w:numPr>
          <w:ilvl w:val="0"/>
          <w:numId w:val="12"/>
        </w:numPr>
        <w:pBdr>
          <w:top w:val="nil"/>
          <w:left w:val="nil"/>
          <w:bottom w:val="nil"/>
          <w:right w:val="nil"/>
          <w:between w:val="nil"/>
        </w:pBdr>
        <w:ind w:left="652"/>
        <w:jc w:val="center"/>
        <w:rPr>
          <w:rFonts w:ascii="Calibri" w:eastAsia="Calibri" w:hAnsi="Calibri" w:cs="Calibri"/>
          <w:b/>
          <w:color w:val="000000"/>
          <w:sz w:val="22"/>
          <w:szCs w:val="22"/>
        </w:rPr>
      </w:pPr>
      <w:r>
        <w:rPr>
          <w:rFonts w:ascii="Calibri" w:eastAsia="Calibri" w:hAnsi="Calibri" w:cs="Calibri"/>
          <w:b/>
          <w:color w:val="000000"/>
          <w:sz w:val="22"/>
          <w:szCs w:val="22"/>
        </w:rPr>
        <w:br/>
        <w:t>Závěrečná ustanovení</w:t>
      </w:r>
    </w:p>
    <w:p w14:paraId="64426AC5"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Smluvní pokuty dle této smlouvy jsou splatné do 21 dnů od písemného vyúčtování odeslaného druhé smluvní straně. Uhrazením smluvní pokuty není dotčen nárok na náhradu škody. Nárok na úhradu smluvní pokuty ani škody není nikterak dotčen odstoupením od smlouvy.</w:t>
      </w:r>
    </w:p>
    <w:p w14:paraId="6306FB54" w14:textId="28955D43" w:rsidR="00B1452C" w:rsidRPr="0086601D" w:rsidRDefault="0086601D">
      <w:pPr>
        <w:numPr>
          <w:ilvl w:val="0"/>
          <w:numId w:val="11"/>
        </w:numPr>
        <w:pBdr>
          <w:top w:val="nil"/>
          <w:left w:val="nil"/>
          <w:bottom w:val="nil"/>
          <w:right w:val="nil"/>
          <w:between w:val="nil"/>
        </w:pBdr>
        <w:jc w:val="both"/>
        <w:rPr>
          <w:rFonts w:asciiTheme="majorHAnsi" w:eastAsia="Calibri" w:hAnsiTheme="majorHAnsi" w:cstheme="majorHAnsi"/>
          <w:color w:val="000000"/>
          <w:sz w:val="22"/>
          <w:szCs w:val="22"/>
        </w:rPr>
      </w:pPr>
      <w:r w:rsidRPr="0086601D">
        <w:rPr>
          <w:rFonts w:asciiTheme="majorHAnsi" w:hAnsiTheme="majorHAnsi" w:cstheme="majorHAnsi"/>
          <w:sz w:val="22"/>
          <w:szCs w:val="22"/>
        </w:rPr>
        <w:t xml:space="preserve">Tato smlouva byla sepsána ve </w:t>
      </w:r>
      <w:r w:rsidR="00657917">
        <w:rPr>
          <w:rFonts w:asciiTheme="majorHAnsi" w:hAnsiTheme="majorHAnsi" w:cstheme="majorHAnsi"/>
          <w:sz w:val="22"/>
          <w:szCs w:val="22"/>
        </w:rPr>
        <w:t>dvou</w:t>
      </w:r>
      <w:r w:rsidRPr="0086601D">
        <w:rPr>
          <w:rFonts w:asciiTheme="majorHAnsi" w:hAnsiTheme="majorHAnsi" w:cstheme="majorHAnsi"/>
          <w:sz w:val="22"/>
          <w:szCs w:val="22"/>
        </w:rPr>
        <w:t xml:space="preserve"> vyhotoveních. Pronajímatel obdrží </w:t>
      </w:r>
      <w:r w:rsidR="00657917">
        <w:rPr>
          <w:rFonts w:asciiTheme="majorHAnsi" w:hAnsiTheme="majorHAnsi" w:cstheme="majorHAnsi"/>
          <w:sz w:val="22"/>
          <w:szCs w:val="22"/>
        </w:rPr>
        <w:t>jedno</w:t>
      </w:r>
      <w:r w:rsidRPr="0086601D">
        <w:rPr>
          <w:rFonts w:asciiTheme="majorHAnsi" w:hAnsiTheme="majorHAnsi" w:cstheme="majorHAnsi"/>
          <w:sz w:val="22"/>
          <w:szCs w:val="22"/>
        </w:rPr>
        <w:t xml:space="preserve"> vyhotovení, nájemce </w:t>
      </w:r>
      <w:r w:rsidR="00657917">
        <w:rPr>
          <w:rFonts w:asciiTheme="majorHAnsi" w:hAnsiTheme="majorHAnsi" w:cstheme="majorHAnsi"/>
          <w:sz w:val="22"/>
          <w:szCs w:val="22"/>
        </w:rPr>
        <w:t xml:space="preserve">obdrží </w:t>
      </w:r>
      <w:r w:rsidRPr="0086601D">
        <w:rPr>
          <w:rFonts w:asciiTheme="majorHAnsi" w:hAnsiTheme="majorHAnsi" w:cstheme="majorHAnsi"/>
          <w:sz w:val="22"/>
          <w:szCs w:val="22"/>
        </w:rPr>
        <w:t>jedno totožné vyhotovení</w:t>
      </w:r>
      <w:r w:rsidR="004150FE" w:rsidRPr="0086601D">
        <w:rPr>
          <w:rFonts w:asciiTheme="majorHAnsi" w:eastAsia="Calibri" w:hAnsiTheme="majorHAnsi" w:cstheme="majorHAnsi"/>
          <w:color w:val="000000"/>
          <w:sz w:val="22"/>
          <w:szCs w:val="22"/>
        </w:rPr>
        <w:t>.</w:t>
      </w:r>
    </w:p>
    <w:p w14:paraId="1DE4B7B5" w14:textId="0384853A" w:rsidR="00B1452C" w:rsidRPr="0086601D"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sidRPr="0086601D">
        <w:rPr>
          <w:rFonts w:ascii="Calibri" w:eastAsia="Calibri" w:hAnsi="Calibri" w:cs="Calibri"/>
          <w:color w:val="000000"/>
          <w:sz w:val="22"/>
          <w:szCs w:val="22"/>
        </w:rPr>
        <w:t xml:space="preserve">Tato smlouva nabývá platnosti a účinnosti dnem podpisu oběma smluvními stranami. </w:t>
      </w:r>
      <w:r w:rsidR="0086601D" w:rsidRPr="0086601D">
        <w:rPr>
          <w:rFonts w:ascii="Calibri" w:eastAsia="Calibri" w:hAnsi="Calibri" w:cs="Calibri"/>
          <w:color w:val="000000"/>
          <w:sz w:val="22"/>
          <w:szCs w:val="22"/>
        </w:rPr>
        <w:t>Pokud</w:t>
      </w:r>
      <w:r w:rsidRPr="0086601D">
        <w:rPr>
          <w:rFonts w:ascii="Calibri" w:eastAsia="Calibri" w:hAnsi="Calibri" w:cs="Calibri"/>
          <w:color w:val="000000"/>
          <w:sz w:val="22"/>
          <w:szCs w:val="22"/>
        </w:rPr>
        <w:t xml:space="preserve"> Tato smlouva podléhá povinnosti uveřejnění dle zákona č. 340/2015 Sb., o zvláštních podmínkách účinnosti některých smluv, uveřejňování těchto smluv a o registru smluv (zákon o registru smluv) a nabude účinnosti dnem uveřejnění a její uveřejnění zajistí pronajímatel. Smluvní strany berou na vědomí, že tato smlouva může být předmětem zveřejnění i dle jiných právních předpisů.</w:t>
      </w:r>
    </w:p>
    <w:p w14:paraId="6A686DB2"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Smluvní strany se zavazují spolupůsobit jako osoba povinná v souladu se zákonem č. 320/2001 Sb., o finanční kontrole ve veřejné správě a o změně některých zákonů (zákon o finanční kontrole), ve znění pozdějších předpisů.</w:t>
      </w:r>
    </w:p>
    <w:p w14:paraId="434548CA"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Smlouvu je možno měnit či doplňovat výhradně písemnými číslovanými dodatky. </w:t>
      </w:r>
    </w:p>
    <w:p w14:paraId="54064247"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Smluvní strany prohlašují, že tuto smlouvu uzavřely podle své pravé a svobodné vůle prosté omylů, nikoliv v tísni a že vzájemné plnění dle této smlouvy není v hrubém nepoměru. Smlouva je pro obě smluvní strany určitá a srozumitelná.</w:t>
      </w:r>
    </w:p>
    <w:p w14:paraId="0F296FEB" w14:textId="77777777" w:rsidR="00B1452C" w:rsidRDefault="0082023E">
      <w:pPr>
        <w:numPr>
          <w:ilvl w:val="0"/>
          <w:numId w:val="11"/>
        </w:num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 xml:space="preserve">Informace k ochraně osobních údajů jsou ze strany NPÚ uveřejněny na webových stránkách </w:t>
      </w:r>
      <w:hyperlink r:id="rId7">
        <w:r>
          <w:rPr>
            <w:rFonts w:ascii="Calibri" w:eastAsia="Calibri" w:hAnsi="Calibri" w:cs="Calibri"/>
            <w:color w:val="0000FF"/>
            <w:sz w:val="22"/>
            <w:szCs w:val="22"/>
            <w:u w:val="single"/>
          </w:rPr>
          <w:t>www.npu.cz</w:t>
        </w:r>
      </w:hyperlink>
      <w:r>
        <w:rPr>
          <w:rFonts w:ascii="Calibri" w:eastAsia="Calibri" w:hAnsi="Calibri" w:cs="Calibri"/>
          <w:color w:val="000000"/>
          <w:sz w:val="22"/>
          <w:szCs w:val="22"/>
        </w:rPr>
        <w:t xml:space="preserve"> v sekci „Ochrana osobních údajů“.</w:t>
      </w:r>
    </w:p>
    <w:p w14:paraId="53A0E281" w14:textId="77777777" w:rsidR="009948E5" w:rsidRDefault="009948E5" w:rsidP="009948E5">
      <w:pPr>
        <w:pBdr>
          <w:top w:val="nil"/>
          <w:left w:val="nil"/>
          <w:bottom w:val="nil"/>
          <w:right w:val="nil"/>
          <w:between w:val="nil"/>
        </w:pBdr>
        <w:jc w:val="both"/>
        <w:rPr>
          <w:rFonts w:ascii="Calibri" w:eastAsia="Calibri" w:hAnsi="Calibri" w:cs="Calibri"/>
          <w:color w:val="000000"/>
          <w:sz w:val="22"/>
          <w:szCs w:val="22"/>
        </w:rPr>
      </w:pPr>
    </w:p>
    <w:p w14:paraId="4AB8E798" w14:textId="77777777" w:rsidR="009948E5" w:rsidRDefault="009948E5" w:rsidP="009948E5">
      <w:pPr>
        <w:pBdr>
          <w:top w:val="nil"/>
          <w:left w:val="nil"/>
          <w:bottom w:val="nil"/>
          <w:right w:val="nil"/>
          <w:between w:val="nil"/>
        </w:pBdr>
        <w:jc w:val="both"/>
        <w:rPr>
          <w:rFonts w:ascii="Calibri" w:eastAsia="Calibri" w:hAnsi="Calibri" w:cs="Calibri"/>
          <w:color w:val="000000"/>
          <w:sz w:val="22"/>
          <w:szCs w:val="22"/>
        </w:rPr>
      </w:pPr>
    </w:p>
    <w:p w14:paraId="2B0C6934" w14:textId="77777777" w:rsidR="0086601D" w:rsidRDefault="0086601D" w:rsidP="0086601D">
      <w:pPr>
        <w:jc w:val="both"/>
        <w:rPr>
          <w:szCs w:val="22"/>
        </w:rPr>
      </w:pPr>
    </w:p>
    <w:p w14:paraId="67DBCFF6" w14:textId="63756E11" w:rsidR="0086601D" w:rsidRPr="003F6F40" w:rsidRDefault="0086601D" w:rsidP="0086601D">
      <w:pPr>
        <w:jc w:val="both"/>
        <w:rPr>
          <w:rFonts w:asciiTheme="majorHAnsi" w:hAnsiTheme="majorHAnsi" w:cstheme="majorHAnsi"/>
          <w:sz w:val="22"/>
          <w:szCs w:val="22"/>
        </w:rPr>
      </w:pPr>
      <w:r w:rsidRPr="003F6F40">
        <w:rPr>
          <w:rFonts w:asciiTheme="majorHAnsi" w:hAnsiTheme="majorHAnsi" w:cstheme="majorHAnsi"/>
          <w:sz w:val="22"/>
          <w:szCs w:val="22"/>
        </w:rPr>
        <w:t>Příloha 1: Specifikace předmětu nájmu</w:t>
      </w:r>
    </w:p>
    <w:p w14:paraId="76C5FBA9" w14:textId="162CC05E" w:rsidR="0086601D" w:rsidRDefault="0086601D" w:rsidP="0086601D">
      <w:pPr>
        <w:jc w:val="both"/>
        <w:rPr>
          <w:rFonts w:asciiTheme="majorHAnsi" w:hAnsiTheme="majorHAnsi" w:cstheme="majorHAnsi"/>
          <w:sz w:val="22"/>
          <w:szCs w:val="22"/>
        </w:rPr>
      </w:pPr>
      <w:r w:rsidRPr="003F6F40">
        <w:rPr>
          <w:rFonts w:asciiTheme="majorHAnsi" w:hAnsiTheme="majorHAnsi" w:cstheme="majorHAnsi"/>
          <w:sz w:val="22"/>
          <w:szCs w:val="22"/>
        </w:rPr>
        <w:t>Příloha 2: Specifikace poskytovaných služeb a úhrada za tyto služby</w:t>
      </w:r>
    </w:p>
    <w:p w14:paraId="4A288FE5" w14:textId="77777777" w:rsidR="009948E5" w:rsidRDefault="009948E5" w:rsidP="0086601D">
      <w:pPr>
        <w:jc w:val="both"/>
        <w:rPr>
          <w:rFonts w:asciiTheme="majorHAnsi" w:hAnsiTheme="majorHAnsi" w:cstheme="majorHAnsi"/>
          <w:sz w:val="22"/>
          <w:szCs w:val="22"/>
        </w:rPr>
      </w:pPr>
    </w:p>
    <w:p w14:paraId="56547DB8" w14:textId="77777777" w:rsidR="009948E5" w:rsidRDefault="009948E5" w:rsidP="0086601D">
      <w:pPr>
        <w:jc w:val="both"/>
        <w:rPr>
          <w:rFonts w:asciiTheme="majorHAnsi" w:hAnsiTheme="majorHAnsi" w:cstheme="majorHAnsi"/>
          <w:sz w:val="22"/>
          <w:szCs w:val="22"/>
        </w:rPr>
      </w:pPr>
    </w:p>
    <w:p w14:paraId="63D6B3BF" w14:textId="77777777" w:rsidR="009948E5" w:rsidRPr="003F6F40" w:rsidRDefault="009948E5" w:rsidP="0086601D">
      <w:pPr>
        <w:jc w:val="both"/>
        <w:rPr>
          <w:rFonts w:asciiTheme="majorHAnsi" w:hAnsiTheme="majorHAnsi" w:cstheme="majorHAnsi"/>
          <w:sz w:val="22"/>
          <w:szCs w:val="22"/>
        </w:rPr>
      </w:pPr>
    </w:p>
    <w:p w14:paraId="6644DCE1" w14:textId="77777777" w:rsidR="00B1452C" w:rsidRDefault="00B1452C">
      <w:pPr>
        <w:pBdr>
          <w:top w:val="nil"/>
          <w:left w:val="nil"/>
          <w:bottom w:val="nil"/>
          <w:right w:val="nil"/>
          <w:between w:val="nil"/>
        </w:pBdr>
        <w:jc w:val="both"/>
        <w:rPr>
          <w:rFonts w:ascii="Calibri" w:eastAsia="Calibri" w:hAnsi="Calibri" w:cs="Calibri"/>
          <w:color w:val="000000"/>
          <w:sz w:val="22"/>
          <w:szCs w:val="22"/>
        </w:rPr>
      </w:pPr>
    </w:p>
    <w:tbl>
      <w:tblPr>
        <w:tblStyle w:val="a"/>
        <w:tblW w:w="9212" w:type="dxa"/>
        <w:jc w:val="center"/>
        <w:tblInd w:w="0" w:type="dxa"/>
        <w:tblLayout w:type="fixed"/>
        <w:tblLook w:val="0000" w:firstRow="0" w:lastRow="0" w:firstColumn="0" w:lastColumn="0" w:noHBand="0" w:noVBand="0"/>
      </w:tblPr>
      <w:tblGrid>
        <w:gridCol w:w="4606"/>
        <w:gridCol w:w="4606"/>
      </w:tblGrid>
      <w:tr w:rsidR="00B1452C" w14:paraId="02A83146" w14:textId="77777777">
        <w:trPr>
          <w:jc w:val="center"/>
        </w:trPr>
        <w:tc>
          <w:tcPr>
            <w:tcW w:w="4606" w:type="dxa"/>
          </w:tcPr>
          <w:p w14:paraId="7ADA80F2" w14:textId="01B4C279"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 xml:space="preserve">V </w:t>
            </w:r>
            <w:r w:rsidR="003F6F40" w:rsidRPr="0085680E">
              <w:rPr>
                <w:rFonts w:ascii="Calibri" w:eastAsia="Calibri" w:hAnsi="Calibri" w:cs="Calibri"/>
                <w:color w:val="000000"/>
                <w:sz w:val="22"/>
                <w:szCs w:val="22"/>
                <w:highlight w:val="yellow"/>
              </w:rPr>
              <w:t>Kroměříži</w:t>
            </w:r>
            <w:r w:rsidRPr="0085680E">
              <w:rPr>
                <w:rFonts w:ascii="Calibri" w:eastAsia="Calibri" w:hAnsi="Calibri" w:cs="Calibri"/>
                <w:color w:val="000000"/>
                <w:sz w:val="22"/>
                <w:szCs w:val="22"/>
                <w:highlight w:val="yellow"/>
              </w:rPr>
              <w:t xml:space="preserve">, dne </w:t>
            </w:r>
            <w:r w:rsidR="003F6F40" w:rsidRPr="0085680E">
              <w:rPr>
                <w:rFonts w:ascii="Calibri" w:eastAsia="Calibri" w:hAnsi="Calibri" w:cs="Calibri"/>
                <w:color w:val="000000"/>
                <w:sz w:val="22"/>
                <w:szCs w:val="22"/>
                <w:highlight w:val="yellow"/>
              </w:rPr>
              <w:t>……………………..</w:t>
            </w:r>
            <w:r w:rsidRPr="0085680E">
              <w:rPr>
                <w:rFonts w:ascii="Calibri" w:eastAsia="Calibri" w:hAnsi="Calibri" w:cs="Calibri"/>
                <w:color w:val="000000"/>
                <w:sz w:val="22"/>
                <w:szCs w:val="22"/>
                <w:highlight w:val="yellow"/>
              </w:rPr>
              <w:t>     </w:t>
            </w:r>
          </w:p>
          <w:p w14:paraId="2B91C29F" w14:textId="38CA07AF" w:rsidR="00B1452C" w:rsidRPr="0085680E" w:rsidRDefault="00B1452C">
            <w:pPr>
              <w:pBdr>
                <w:top w:val="nil"/>
                <w:left w:val="nil"/>
                <w:bottom w:val="nil"/>
                <w:right w:val="nil"/>
                <w:between w:val="nil"/>
              </w:pBdr>
              <w:jc w:val="center"/>
              <w:rPr>
                <w:rFonts w:ascii="Calibri" w:eastAsia="Calibri" w:hAnsi="Calibri" w:cs="Calibri"/>
                <w:color w:val="000000"/>
                <w:sz w:val="22"/>
                <w:szCs w:val="22"/>
                <w:highlight w:val="yellow"/>
              </w:rPr>
            </w:pPr>
          </w:p>
          <w:p w14:paraId="399592F3" w14:textId="3A334DF8"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15180B43" w14:textId="77777777" w:rsidR="009948E5" w:rsidRPr="0085680E" w:rsidRDefault="009948E5">
            <w:pPr>
              <w:pBdr>
                <w:top w:val="nil"/>
                <w:left w:val="nil"/>
                <w:bottom w:val="nil"/>
                <w:right w:val="nil"/>
                <w:between w:val="nil"/>
              </w:pBdr>
              <w:jc w:val="center"/>
              <w:rPr>
                <w:rFonts w:ascii="Calibri" w:eastAsia="Calibri" w:hAnsi="Calibri" w:cs="Calibri"/>
                <w:color w:val="000000"/>
                <w:sz w:val="22"/>
                <w:szCs w:val="22"/>
                <w:highlight w:val="yellow"/>
              </w:rPr>
            </w:pPr>
          </w:p>
          <w:p w14:paraId="5BA11FE0" w14:textId="77777777" w:rsidR="009948E5" w:rsidRPr="0085680E" w:rsidRDefault="009948E5">
            <w:pPr>
              <w:pBdr>
                <w:top w:val="nil"/>
                <w:left w:val="nil"/>
                <w:bottom w:val="nil"/>
                <w:right w:val="nil"/>
                <w:between w:val="nil"/>
              </w:pBdr>
              <w:jc w:val="center"/>
              <w:rPr>
                <w:rFonts w:ascii="Calibri" w:eastAsia="Calibri" w:hAnsi="Calibri" w:cs="Calibri"/>
                <w:color w:val="000000"/>
                <w:sz w:val="22"/>
                <w:szCs w:val="22"/>
                <w:highlight w:val="yellow"/>
              </w:rPr>
            </w:pPr>
          </w:p>
          <w:p w14:paraId="5D42E6D4" w14:textId="6A9E34A5"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525691C8" w14:textId="77777777"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11E4073C" w14:textId="77777777" w:rsidR="00B1452C" w:rsidRPr="0085680E" w:rsidRDefault="00B1452C">
            <w:pPr>
              <w:pBdr>
                <w:top w:val="nil"/>
                <w:left w:val="nil"/>
                <w:bottom w:val="nil"/>
                <w:right w:val="nil"/>
                <w:between w:val="nil"/>
              </w:pBdr>
              <w:jc w:val="center"/>
              <w:rPr>
                <w:rFonts w:ascii="Calibri" w:eastAsia="Calibri" w:hAnsi="Calibri" w:cs="Calibri"/>
                <w:color w:val="000000"/>
                <w:sz w:val="22"/>
                <w:szCs w:val="22"/>
                <w:highlight w:val="yellow"/>
              </w:rPr>
            </w:pPr>
          </w:p>
          <w:p w14:paraId="73F6487C"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w:t>
            </w:r>
          </w:p>
          <w:p w14:paraId="4A47A605"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(podpis pronajímatele)</w:t>
            </w:r>
          </w:p>
          <w:p w14:paraId="39B8FA17"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/razítko/</w:t>
            </w:r>
          </w:p>
        </w:tc>
        <w:tc>
          <w:tcPr>
            <w:tcW w:w="4606" w:type="dxa"/>
          </w:tcPr>
          <w:p w14:paraId="085F09E5" w14:textId="5F3E9C5E"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 xml:space="preserve">V </w:t>
            </w:r>
            <w:r w:rsidR="003F6F40" w:rsidRPr="0085680E">
              <w:rPr>
                <w:rFonts w:ascii="Calibri" w:eastAsia="Calibri" w:hAnsi="Calibri" w:cs="Calibri"/>
                <w:color w:val="000000"/>
                <w:sz w:val="22"/>
                <w:szCs w:val="22"/>
                <w:highlight w:val="yellow"/>
              </w:rPr>
              <w:t xml:space="preserve">…………………….., </w:t>
            </w:r>
            <w:r w:rsidRPr="0085680E">
              <w:rPr>
                <w:rFonts w:ascii="Calibri" w:eastAsia="Calibri" w:hAnsi="Calibri" w:cs="Calibri"/>
                <w:color w:val="000000"/>
                <w:sz w:val="22"/>
                <w:szCs w:val="22"/>
                <w:highlight w:val="yellow"/>
              </w:rPr>
              <w:t>dne</w:t>
            </w:r>
            <w:r w:rsidR="003F6F40" w:rsidRPr="0085680E">
              <w:rPr>
                <w:rFonts w:ascii="Calibri" w:eastAsia="Calibri" w:hAnsi="Calibri" w:cs="Calibri"/>
                <w:color w:val="000000"/>
                <w:sz w:val="22"/>
                <w:szCs w:val="22"/>
                <w:highlight w:val="yellow"/>
              </w:rPr>
              <w:t xml:space="preserve"> …………………………</w:t>
            </w:r>
            <w:r w:rsidRPr="0085680E">
              <w:rPr>
                <w:rFonts w:ascii="Calibri" w:eastAsia="Calibri" w:hAnsi="Calibri" w:cs="Calibri"/>
                <w:color w:val="000000"/>
                <w:sz w:val="22"/>
                <w:szCs w:val="22"/>
                <w:highlight w:val="yellow"/>
              </w:rPr>
              <w:t xml:space="preserve">      </w:t>
            </w:r>
          </w:p>
          <w:p w14:paraId="410B38E2" w14:textId="77777777" w:rsidR="00B1452C" w:rsidRPr="0085680E" w:rsidRDefault="00B1452C">
            <w:pPr>
              <w:pBdr>
                <w:top w:val="nil"/>
                <w:left w:val="nil"/>
                <w:bottom w:val="nil"/>
                <w:right w:val="nil"/>
                <w:between w:val="nil"/>
              </w:pBdr>
              <w:jc w:val="center"/>
              <w:rPr>
                <w:rFonts w:ascii="Calibri" w:eastAsia="Calibri" w:hAnsi="Calibri" w:cs="Calibri"/>
                <w:color w:val="000000"/>
                <w:sz w:val="22"/>
                <w:szCs w:val="22"/>
                <w:highlight w:val="yellow"/>
              </w:rPr>
            </w:pPr>
          </w:p>
          <w:p w14:paraId="669213C3" w14:textId="5E237873" w:rsidR="00B1452C" w:rsidRPr="0085680E" w:rsidRDefault="00B1452C">
            <w:pPr>
              <w:pBdr>
                <w:top w:val="nil"/>
                <w:left w:val="nil"/>
                <w:bottom w:val="nil"/>
                <w:right w:val="nil"/>
                <w:between w:val="nil"/>
              </w:pBdr>
              <w:jc w:val="center"/>
              <w:rPr>
                <w:rFonts w:ascii="Calibri" w:eastAsia="Calibri" w:hAnsi="Calibri" w:cs="Calibri"/>
                <w:color w:val="000000"/>
                <w:sz w:val="22"/>
                <w:szCs w:val="22"/>
                <w:highlight w:val="yellow"/>
              </w:rPr>
            </w:pPr>
          </w:p>
          <w:p w14:paraId="11D0C8F8" w14:textId="11BA88DF"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673ACE80" w14:textId="77777777" w:rsidR="009948E5" w:rsidRPr="0085680E" w:rsidRDefault="009948E5">
            <w:pPr>
              <w:pBdr>
                <w:top w:val="nil"/>
                <w:left w:val="nil"/>
                <w:bottom w:val="nil"/>
                <w:right w:val="nil"/>
                <w:between w:val="nil"/>
              </w:pBdr>
              <w:jc w:val="center"/>
              <w:rPr>
                <w:rFonts w:ascii="Calibri" w:eastAsia="Calibri" w:hAnsi="Calibri" w:cs="Calibri"/>
                <w:color w:val="000000"/>
                <w:sz w:val="22"/>
                <w:szCs w:val="22"/>
                <w:highlight w:val="yellow"/>
              </w:rPr>
            </w:pPr>
          </w:p>
          <w:p w14:paraId="648CAEF8" w14:textId="77777777" w:rsidR="009948E5" w:rsidRPr="0085680E" w:rsidRDefault="009948E5">
            <w:pPr>
              <w:pBdr>
                <w:top w:val="nil"/>
                <w:left w:val="nil"/>
                <w:bottom w:val="nil"/>
                <w:right w:val="nil"/>
                <w:between w:val="nil"/>
              </w:pBdr>
              <w:jc w:val="center"/>
              <w:rPr>
                <w:rFonts w:ascii="Calibri" w:eastAsia="Calibri" w:hAnsi="Calibri" w:cs="Calibri"/>
                <w:color w:val="000000"/>
                <w:sz w:val="22"/>
                <w:szCs w:val="22"/>
                <w:highlight w:val="yellow"/>
              </w:rPr>
            </w:pPr>
          </w:p>
          <w:p w14:paraId="3C217E05" w14:textId="6BEC69B2"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679FB05F" w14:textId="77777777" w:rsidR="005155D1" w:rsidRPr="0085680E" w:rsidRDefault="005155D1">
            <w:pPr>
              <w:pBdr>
                <w:top w:val="nil"/>
                <w:left w:val="nil"/>
                <w:bottom w:val="nil"/>
                <w:right w:val="nil"/>
                <w:between w:val="nil"/>
              </w:pBdr>
              <w:jc w:val="center"/>
              <w:rPr>
                <w:rFonts w:ascii="Calibri" w:eastAsia="Calibri" w:hAnsi="Calibri" w:cs="Calibri"/>
                <w:color w:val="000000"/>
                <w:sz w:val="22"/>
                <w:szCs w:val="22"/>
                <w:highlight w:val="yellow"/>
              </w:rPr>
            </w:pPr>
          </w:p>
          <w:p w14:paraId="0D0CFBA1"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w:t>
            </w:r>
          </w:p>
          <w:p w14:paraId="461E1685"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(podpis nájemce)</w:t>
            </w:r>
          </w:p>
          <w:p w14:paraId="0B52CDA7" w14:textId="77777777" w:rsidR="00B1452C" w:rsidRPr="0085680E" w:rsidRDefault="0082023E">
            <w:pPr>
              <w:pBdr>
                <w:top w:val="nil"/>
                <w:left w:val="nil"/>
                <w:bottom w:val="nil"/>
                <w:right w:val="nil"/>
                <w:between w:val="nil"/>
              </w:pBdr>
              <w:jc w:val="center"/>
              <w:rPr>
                <w:rFonts w:ascii="Calibri" w:eastAsia="Calibri" w:hAnsi="Calibri" w:cs="Calibri"/>
                <w:color w:val="000000"/>
                <w:sz w:val="22"/>
                <w:szCs w:val="22"/>
                <w:highlight w:val="yellow"/>
              </w:rPr>
            </w:pPr>
            <w:r w:rsidRPr="0085680E">
              <w:rPr>
                <w:rFonts w:ascii="Calibri" w:eastAsia="Calibri" w:hAnsi="Calibri" w:cs="Calibri"/>
                <w:color w:val="000000"/>
                <w:sz w:val="22"/>
                <w:szCs w:val="22"/>
                <w:highlight w:val="yellow"/>
              </w:rPr>
              <w:t>/razítko/</w:t>
            </w:r>
          </w:p>
        </w:tc>
      </w:tr>
    </w:tbl>
    <w:p w14:paraId="0977075A" w14:textId="7F0166F9" w:rsidR="00B1452C" w:rsidRDefault="00B1452C">
      <w:pPr>
        <w:pBdr>
          <w:top w:val="nil"/>
          <w:left w:val="nil"/>
          <w:bottom w:val="nil"/>
          <w:right w:val="nil"/>
          <w:between w:val="nil"/>
        </w:pBdr>
        <w:rPr>
          <w:rFonts w:ascii="Calibri" w:eastAsia="Calibri" w:hAnsi="Calibri" w:cs="Calibri"/>
          <w:color w:val="000000"/>
          <w:sz w:val="22"/>
          <w:szCs w:val="22"/>
        </w:rPr>
      </w:pPr>
    </w:p>
    <w:p w14:paraId="73D84987" w14:textId="4B89AF9C" w:rsidR="0010774B" w:rsidRDefault="0010774B">
      <w:pPr>
        <w:pBdr>
          <w:top w:val="nil"/>
          <w:left w:val="nil"/>
          <w:bottom w:val="nil"/>
          <w:right w:val="nil"/>
          <w:between w:val="nil"/>
        </w:pBdr>
        <w:rPr>
          <w:rFonts w:ascii="Calibri" w:eastAsia="Calibri" w:hAnsi="Calibri" w:cs="Calibri"/>
          <w:color w:val="000000"/>
          <w:sz w:val="22"/>
          <w:szCs w:val="22"/>
        </w:rPr>
      </w:pPr>
    </w:p>
    <w:p w14:paraId="7C22DF57" w14:textId="60DF0D7B" w:rsidR="0010774B" w:rsidRDefault="0010774B">
      <w:pPr>
        <w:pBdr>
          <w:top w:val="nil"/>
          <w:left w:val="nil"/>
          <w:bottom w:val="nil"/>
          <w:right w:val="nil"/>
          <w:between w:val="nil"/>
        </w:pBdr>
        <w:rPr>
          <w:rFonts w:ascii="Calibri" w:eastAsia="Calibri" w:hAnsi="Calibri" w:cs="Calibri"/>
          <w:color w:val="000000"/>
          <w:sz w:val="22"/>
          <w:szCs w:val="22"/>
        </w:rPr>
      </w:pPr>
    </w:p>
    <w:p w14:paraId="4FECDA02" w14:textId="4C745A83" w:rsidR="0010774B" w:rsidRDefault="0010774B">
      <w:pPr>
        <w:rPr>
          <w:rFonts w:ascii="Calibri" w:eastAsia="Calibri" w:hAnsi="Calibri" w:cs="Calibri"/>
          <w:color w:val="000000"/>
          <w:sz w:val="22"/>
          <w:szCs w:val="22"/>
        </w:rPr>
      </w:pPr>
      <w:r>
        <w:rPr>
          <w:rFonts w:ascii="Calibri" w:eastAsia="Calibri" w:hAnsi="Calibri" w:cs="Calibri"/>
          <w:color w:val="000000"/>
          <w:sz w:val="22"/>
          <w:szCs w:val="22"/>
        </w:rPr>
        <w:br w:type="page"/>
      </w:r>
    </w:p>
    <w:p w14:paraId="79E8D3AB" w14:textId="77777777" w:rsidR="0010774B" w:rsidRPr="0010774B" w:rsidRDefault="0010774B" w:rsidP="0010774B">
      <w:pPr>
        <w:rPr>
          <w:rFonts w:asciiTheme="majorHAnsi" w:hAnsiTheme="majorHAnsi" w:cstheme="majorHAnsi"/>
          <w:sz w:val="22"/>
          <w:szCs w:val="22"/>
        </w:rPr>
      </w:pPr>
      <w:r w:rsidRPr="0010774B">
        <w:rPr>
          <w:rFonts w:asciiTheme="majorHAnsi" w:hAnsiTheme="majorHAnsi" w:cstheme="majorHAnsi"/>
          <w:sz w:val="22"/>
          <w:szCs w:val="22"/>
        </w:rPr>
        <w:lastRenderedPageBreak/>
        <w:t>Příloha č. 1 – plán 1. NP jižního křídla SZ Rájec nad Svitavou, s vyznačením umístění předmětu nájmu</w:t>
      </w:r>
    </w:p>
    <w:p w14:paraId="740D3ACF" w14:textId="77777777" w:rsidR="0010774B" w:rsidRPr="0010774B" w:rsidRDefault="0010774B" w:rsidP="0010774B">
      <w:pPr>
        <w:rPr>
          <w:rFonts w:asciiTheme="majorHAnsi" w:hAnsiTheme="majorHAnsi" w:cstheme="majorHAnsi"/>
          <w:sz w:val="22"/>
          <w:szCs w:val="22"/>
        </w:rPr>
      </w:pPr>
    </w:p>
    <w:p w14:paraId="3A96026C" w14:textId="5FB7E988" w:rsidR="0010774B" w:rsidRPr="0010774B" w:rsidRDefault="0010774B" w:rsidP="0010774B">
      <w:pPr>
        <w:rPr>
          <w:rFonts w:asciiTheme="majorHAnsi" w:hAnsiTheme="majorHAnsi" w:cstheme="majorHAnsi"/>
          <w:sz w:val="22"/>
          <w:szCs w:val="22"/>
        </w:rPr>
      </w:pPr>
      <w:r>
        <w:rPr>
          <w:rFonts w:asciiTheme="majorHAnsi" w:hAnsiTheme="majorHAnsi" w:cstheme="majorHAnsi"/>
          <w:noProof/>
          <w:sz w:val="22"/>
          <w:szCs w:val="22"/>
        </w:rPr>
        <w:drawing>
          <wp:inline distT="0" distB="0" distL="0" distR="0" wp14:anchorId="2D86F66D" wp14:editId="60274375">
            <wp:extent cx="3877098" cy="8220075"/>
            <wp:effectExtent l="0" t="0" r="952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8">
                      <a:extLst>
                        <a:ext uri="{28A0092B-C50C-407E-A947-70E740481C1C}">
                          <a14:useLocalDpi xmlns:a14="http://schemas.microsoft.com/office/drawing/2010/main" val="0"/>
                        </a:ext>
                      </a:extLst>
                    </a:blip>
                    <a:stretch>
                      <a:fillRect/>
                    </a:stretch>
                  </pic:blipFill>
                  <pic:spPr>
                    <a:xfrm>
                      <a:off x="0" y="0"/>
                      <a:ext cx="3883632" cy="8233928"/>
                    </a:xfrm>
                    <a:prstGeom prst="rect">
                      <a:avLst/>
                    </a:prstGeom>
                  </pic:spPr>
                </pic:pic>
              </a:graphicData>
            </a:graphic>
          </wp:inline>
        </w:drawing>
      </w:r>
    </w:p>
    <w:p w14:paraId="64089BAC" w14:textId="77777777" w:rsidR="0010774B" w:rsidRPr="0010774B" w:rsidRDefault="0010774B" w:rsidP="0010774B">
      <w:pPr>
        <w:rPr>
          <w:rFonts w:asciiTheme="majorHAnsi" w:hAnsiTheme="majorHAnsi" w:cstheme="majorHAnsi"/>
          <w:sz w:val="22"/>
          <w:szCs w:val="22"/>
        </w:rPr>
      </w:pPr>
      <w:r w:rsidRPr="0010774B">
        <w:rPr>
          <w:rFonts w:asciiTheme="majorHAnsi" w:hAnsiTheme="majorHAnsi" w:cstheme="majorHAnsi"/>
          <w:sz w:val="22"/>
          <w:szCs w:val="22"/>
        </w:rPr>
        <w:lastRenderedPageBreak/>
        <w:t xml:space="preserve">Příloha č. 2 ke smlouvě o nájmu nebytových </w:t>
      </w:r>
      <w:r w:rsidRPr="0010774B">
        <w:rPr>
          <w:rFonts w:asciiTheme="majorHAnsi" w:hAnsiTheme="majorHAnsi" w:cstheme="majorHAnsi"/>
          <w:sz w:val="22"/>
          <w:szCs w:val="22"/>
          <w:highlight w:val="lightGray"/>
        </w:rPr>
        <w:t>prostor č.j.</w:t>
      </w:r>
      <w:r w:rsidRPr="0010774B">
        <w:rPr>
          <w:rFonts w:asciiTheme="majorHAnsi" w:hAnsiTheme="majorHAnsi" w:cstheme="majorHAnsi"/>
          <w:sz w:val="22"/>
          <w:szCs w:val="22"/>
        </w:rPr>
        <w:t xml:space="preserve"> </w:t>
      </w:r>
    </w:p>
    <w:p w14:paraId="3948F86E" w14:textId="77777777" w:rsidR="0010774B" w:rsidRPr="0010774B" w:rsidRDefault="0010774B" w:rsidP="0010774B">
      <w:pPr>
        <w:rPr>
          <w:rFonts w:asciiTheme="majorHAnsi" w:hAnsiTheme="majorHAnsi" w:cstheme="majorHAnsi"/>
          <w:sz w:val="22"/>
          <w:szCs w:val="22"/>
        </w:rPr>
      </w:pPr>
    </w:p>
    <w:p w14:paraId="3F6F5526" w14:textId="77777777" w:rsidR="0010774B" w:rsidRPr="0010774B" w:rsidRDefault="0010774B" w:rsidP="0010774B">
      <w:pPr>
        <w:jc w:val="both"/>
        <w:rPr>
          <w:rFonts w:asciiTheme="majorHAnsi" w:hAnsiTheme="majorHAnsi" w:cstheme="majorHAnsi"/>
          <w:b/>
          <w:sz w:val="22"/>
          <w:szCs w:val="22"/>
        </w:rPr>
      </w:pPr>
      <w:r w:rsidRPr="0010774B">
        <w:rPr>
          <w:rFonts w:asciiTheme="majorHAnsi" w:hAnsiTheme="majorHAnsi" w:cstheme="majorHAnsi"/>
          <w:b/>
          <w:sz w:val="22"/>
          <w:szCs w:val="22"/>
        </w:rPr>
        <w:t>Elektrická energie:</w:t>
      </w:r>
    </w:p>
    <w:p w14:paraId="2D226DB2" w14:textId="77777777" w:rsidR="0010774B" w:rsidRPr="0010774B" w:rsidRDefault="0010774B" w:rsidP="0010774B">
      <w:pPr>
        <w:jc w:val="both"/>
        <w:rPr>
          <w:rFonts w:asciiTheme="majorHAnsi" w:hAnsiTheme="majorHAnsi" w:cstheme="majorHAnsi"/>
          <w:b/>
          <w:sz w:val="22"/>
          <w:szCs w:val="22"/>
        </w:rPr>
      </w:pPr>
    </w:p>
    <w:p w14:paraId="1CD705CE"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Spotřeba elektrické energie bude hrazena nájemcem na základě odečtu na podružném elektroměru č./ID Code 5511465/1990, který se bude provádět v termínech vždy k poslednímu dni každého měsíce v době trvání nájmu.</w:t>
      </w:r>
    </w:p>
    <w:p w14:paraId="000675E6" w14:textId="1F871D2D"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 xml:space="preserve">Úhradu za spotřebovanou energii bude nájemce pronajímateli hradit formou záloh /dále jen záloha/ - nájemce uhradí pronajímateli pololetní zálohy ve výši </w:t>
      </w:r>
      <w:r w:rsidR="00657917">
        <w:rPr>
          <w:rFonts w:asciiTheme="majorHAnsi" w:hAnsiTheme="majorHAnsi" w:cstheme="majorHAnsi"/>
          <w:sz w:val="22"/>
          <w:szCs w:val="22"/>
        </w:rPr>
        <w:t>2</w:t>
      </w:r>
      <w:r w:rsidRPr="0010774B">
        <w:rPr>
          <w:rFonts w:asciiTheme="majorHAnsi" w:hAnsiTheme="majorHAnsi" w:cstheme="majorHAnsi"/>
          <w:sz w:val="22"/>
          <w:szCs w:val="22"/>
        </w:rPr>
        <w:t>000,- Kč na základě zálohové faktury pronajímatele se 21-ti denní splatností, která bude vystavena k</w:t>
      </w:r>
      <w:r w:rsidR="00F61F65">
        <w:rPr>
          <w:rFonts w:asciiTheme="majorHAnsi" w:hAnsiTheme="majorHAnsi" w:cstheme="majorHAnsi"/>
          <w:sz w:val="22"/>
          <w:szCs w:val="22"/>
        </w:rPr>
        <w:t>e dni</w:t>
      </w:r>
      <w:r w:rsidRPr="0010774B">
        <w:rPr>
          <w:rFonts w:asciiTheme="majorHAnsi" w:hAnsiTheme="majorHAnsi" w:cstheme="majorHAnsi"/>
          <w:sz w:val="22"/>
          <w:szCs w:val="22"/>
        </w:rPr>
        <w:t xml:space="preserve"> 15. 5. b</w:t>
      </w:r>
      <w:r w:rsidR="00657917">
        <w:rPr>
          <w:rFonts w:asciiTheme="majorHAnsi" w:hAnsiTheme="majorHAnsi" w:cstheme="majorHAnsi"/>
          <w:sz w:val="22"/>
          <w:szCs w:val="22"/>
        </w:rPr>
        <w:t>ěžného kalendářního roku.</w:t>
      </w:r>
    </w:p>
    <w:p w14:paraId="12E5A5AA"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Vyúčtování záloh za příslušný kalendářní rok včetně náležitostí stanovených z. č. 235/2004 Sb. v pl. znění, bude provedeno 1x ročně po obdržení dodavatelské faktury. Vyúčtování pronajímatel doručí nájemci zpravidla do 31. 1. následujícího roku.</w:t>
      </w:r>
    </w:p>
    <w:p w14:paraId="0F112B93"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Přeplatky a doplatky vyplývající z vyúčtování záloh za příslušný kalendářní rok jsou splatné do 15 dnů od doručení vyúčtování nájemci.</w:t>
      </w:r>
    </w:p>
    <w:p w14:paraId="20C16C1B"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 xml:space="preserve">Úhrada za spotřebovanou energii není předmětem DPH /z. č. 235/2004 Sb. o dani z přidané hodnoty, ve znění pozdějších předpisů, § 36 odst. 11/.        </w:t>
      </w:r>
    </w:p>
    <w:p w14:paraId="375D16F4" w14:textId="77777777" w:rsidR="0010774B" w:rsidRPr="0010774B" w:rsidRDefault="0010774B" w:rsidP="0010774B">
      <w:pPr>
        <w:jc w:val="both"/>
        <w:rPr>
          <w:rFonts w:asciiTheme="majorHAnsi" w:hAnsiTheme="majorHAnsi" w:cstheme="majorHAnsi"/>
          <w:sz w:val="22"/>
          <w:szCs w:val="22"/>
        </w:rPr>
      </w:pPr>
    </w:p>
    <w:p w14:paraId="0946596C" w14:textId="77777777" w:rsidR="0010774B" w:rsidRPr="0010774B" w:rsidRDefault="0010774B" w:rsidP="0010774B">
      <w:pPr>
        <w:jc w:val="both"/>
        <w:rPr>
          <w:rFonts w:asciiTheme="majorHAnsi" w:hAnsiTheme="majorHAnsi" w:cstheme="majorHAnsi"/>
          <w:b/>
          <w:sz w:val="22"/>
          <w:szCs w:val="22"/>
        </w:rPr>
      </w:pPr>
      <w:r w:rsidRPr="0010774B">
        <w:rPr>
          <w:rFonts w:asciiTheme="majorHAnsi" w:hAnsiTheme="majorHAnsi" w:cstheme="majorHAnsi"/>
          <w:b/>
          <w:sz w:val="22"/>
          <w:szCs w:val="22"/>
        </w:rPr>
        <w:t>Vodné:</w:t>
      </w:r>
    </w:p>
    <w:p w14:paraId="6AE14259"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Nájemce uhradí pronajímateli spotřebu vody částku stanovenou výpočtem dle vyhlášky ministerstva zemědělství č. 120/2011 Sb., v platném znění (příloha č. 12 – směrná čísla roční spotřeby vody) takto:</w:t>
      </w:r>
    </w:p>
    <w:p w14:paraId="5EBB406C"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Výpočet vodného: 1 os. x 18 m3/os/rok x aktuální cena vodného za období poskytování vody dle ceníku dodavatele vody + sazba DPH v aktuální zákonné výši.</w:t>
      </w:r>
    </w:p>
    <w:p w14:paraId="50A3653F" w14:textId="1218C4AD"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Spotřebu za vodné nájemce pronajímateli uhradí na základě faktury se 21ti</w:t>
      </w:r>
      <w:r w:rsidR="00F61F65">
        <w:rPr>
          <w:rFonts w:asciiTheme="majorHAnsi" w:hAnsiTheme="majorHAnsi" w:cstheme="majorHAnsi"/>
          <w:sz w:val="22"/>
          <w:szCs w:val="22"/>
        </w:rPr>
        <w:t xml:space="preserve"> </w:t>
      </w:r>
      <w:r w:rsidRPr="0010774B">
        <w:rPr>
          <w:rFonts w:asciiTheme="majorHAnsi" w:hAnsiTheme="majorHAnsi" w:cstheme="majorHAnsi"/>
          <w:sz w:val="22"/>
          <w:szCs w:val="22"/>
        </w:rPr>
        <w:t>denní splatností, kterou pronajímatel vystaví 1x ročně zpravidla v termínu do 31. 1. následujícího roku.</w:t>
      </w:r>
    </w:p>
    <w:p w14:paraId="276FFEF3" w14:textId="77777777" w:rsidR="0010774B" w:rsidRPr="0010774B" w:rsidRDefault="0010774B" w:rsidP="0010774B">
      <w:pPr>
        <w:jc w:val="both"/>
        <w:rPr>
          <w:rFonts w:asciiTheme="majorHAnsi" w:hAnsiTheme="majorHAnsi" w:cstheme="majorHAnsi"/>
          <w:sz w:val="22"/>
          <w:szCs w:val="22"/>
        </w:rPr>
      </w:pPr>
    </w:p>
    <w:p w14:paraId="0E947AAF" w14:textId="77777777" w:rsidR="0010774B" w:rsidRPr="0010774B" w:rsidRDefault="0010774B" w:rsidP="0010774B">
      <w:pPr>
        <w:jc w:val="both"/>
        <w:rPr>
          <w:rFonts w:asciiTheme="majorHAnsi" w:hAnsiTheme="majorHAnsi" w:cstheme="majorHAnsi"/>
          <w:b/>
          <w:sz w:val="22"/>
          <w:szCs w:val="22"/>
        </w:rPr>
      </w:pPr>
    </w:p>
    <w:p w14:paraId="71334D35" w14:textId="77777777" w:rsidR="0010774B" w:rsidRPr="0010774B" w:rsidRDefault="0010774B" w:rsidP="0010774B">
      <w:pPr>
        <w:jc w:val="both"/>
        <w:rPr>
          <w:rFonts w:asciiTheme="majorHAnsi" w:hAnsiTheme="majorHAnsi" w:cstheme="majorHAnsi"/>
          <w:b/>
          <w:sz w:val="22"/>
          <w:szCs w:val="22"/>
        </w:rPr>
      </w:pPr>
      <w:r w:rsidRPr="0010774B">
        <w:rPr>
          <w:rFonts w:asciiTheme="majorHAnsi" w:hAnsiTheme="majorHAnsi" w:cstheme="majorHAnsi"/>
          <w:b/>
          <w:sz w:val="22"/>
          <w:szCs w:val="22"/>
        </w:rPr>
        <w:t>Stočné:</w:t>
      </w:r>
    </w:p>
    <w:p w14:paraId="1CAE6DF2" w14:textId="634EAB7A" w:rsidR="0010774B" w:rsidRPr="0010774B" w:rsidRDefault="0010774B" w:rsidP="00657917">
      <w:pPr>
        <w:jc w:val="both"/>
        <w:rPr>
          <w:rFonts w:asciiTheme="majorHAnsi" w:hAnsiTheme="majorHAnsi" w:cstheme="majorHAnsi"/>
          <w:sz w:val="22"/>
          <w:szCs w:val="22"/>
        </w:rPr>
      </w:pPr>
      <w:r w:rsidRPr="0010774B">
        <w:rPr>
          <w:rFonts w:asciiTheme="majorHAnsi" w:hAnsiTheme="majorHAnsi" w:cstheme="majorHAnsi"/>
          <w:sz w:val="22"/>
          <w:szCs w:val="22"/>
        </w:rPr>
        <w:t>Nájemce uhradí pronajímateli stočné za množství odvedených odpadních vod</w:t>
      </w:r>
      <w:r w:rsidR="00657917">
        <w:rPr>
          <w:rFonts w:asciiTheme="majorHAnsi" w:hAnsiTheme="majorHAnsi" w:cstheme="majorHAnsi"/>
          <w:sz w:val="22"/>
          <w:szCs w:val="22"/>
        </w:rPr>
        <w:t xml:space="preserve"> rovnající se množství spotřebované vody</w:t>
      </w:r>
      <w:r w:rsidRPr="0010774B">
        <w:rPr>
          <w:rFonts w:asciiTheme="majorHAnsi" w:hAnsiTheme="majorHAnsi" w:cstheme="majorHAnsi"/>
          <w:sz w:val="22"/>
          <w:szCs w:val="22"/>
        </w:rPr>
        <w:t xml:space="preserve"> </w:t>
      </w:r>
      <w:r w:rsidR="00657917">
        <w:rPr>
          <w:rFonts w:asciiTheme="majorHAnsi" w:hAnsiTheme="majorHAnsi" w:cstheme="majorHAnsi"/>
          <w:sz w:val="22"/>
          <w:szCs w:val="22"/>
        </w:rPr>
        <w:t>v cenách dle dodavatele této služby.</w:t>
      </w:r>
    </w:p>
    <w:p w14:paraId="6ABC958F" w14:textId="6E415C70"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Spotřebu za stočné nájemce pronajímateli uhradí na základě faktury se 21ti denní splatností, kterou pronajímatel vystaví v termínu k</w:t>
      </w:r>
      <w:r w:rsidR="00F61F65">
        <w:rPr>
          <w:rFonts w:asciiTheme="majorHAnsi" w:hAnsiTheme="majorHAnsi" w:cstheme="majorHAnsi"/>
          <w:sz w:val="22"/>
          <w:szCs w:val="22"/>
        </w:rPr>
        <w:t>e dni</w:t>
      </w:r>
      <w:r w:rsidRPr="0010774B">
        <w:rPr>
          <w:rFonts w:asciiTheme="majorHAnsi" w:hAnsiTheme="majorHAnsi" w:cstheme="majorHAnsi"/>
          <w:sz w:val="22"/>
          <w:szCs w:val="22"/>
        </w:rPr>
        <w:t xml:space="preserve"> 15. 5.</w:t>
      </w:r>
      <w:r w:rsidR="00657917">
        <w:rPr>
          <w:rFonts w:asciiTheme="majorHAnsi" w:hAnsiTheme="majorHAnsi" w:cstheme="majorHAnsi"/>
          <w:sz w:val="22"/>
          <w:szCs w:val="22"/>
        </w:rPr>
        <w:t xml:space="preserve"> </w:t>
      </w:r>
      <w:r w:rsidR="00657917" w:rsidRPr="0010774B">
        <w:rPr>
          <w:rFonts w:asciiTheme="majorHAnsi" w:hAnsiTheme="majorHAnsi" w:cstheme="majorHAnsi"/>
          <w:sz w:val="22"/>
          <w:szCs w:val="22"/>
        </w:rPr>
        <w:t>b</w:t>
      </w:r>
      <w:r w:rsidR="00657917">
        <w:rPr>
          <w:rFonts w:asciiTheme="majorHAnsi" w:hAnsiTheme="majorHAnsi" w:cstheme="majorHAnsi"/>
          <w:sz w:val="22"/>
          <w:szCs w:val="22"/>
        </w:rPr>
        <w:t>ěžného kalendářního roku.</w:t>
      </w:r>
    </w:p>
    <w:p w14:paraId="5FC27513" w14:textId="77777777" w:rsidR="0010774B" w:rsidRPr="0010774B" w:rsidRDefault="0010774B" w:rsidP="0010774B">
      <w:pPr>
        <w:jc w:val="both"/>
        <w:rPr>
          <w:rFonts w:asciiTheme="majorHAnsi" w:hAnsiTheme="majorHAnsi" w:cstheme="majorHAnsi"/>
          <w:sz w:val="22"/>
          <w:szCs w:val="22"/>
        </w:rPr>
      </w:pPr>
    </w:p>
    <w:p w14:paraId="421249D8" w14:textId="1C82D25E"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 xml:space="preserve">Nájemce bere na vědomí, že v případě změny ceny vodného a stočného k 1. 1. </w:t>
      </w:r>
      <w:r w:rsidR="00657917" w:rsidRPr="0010774B">
        <w:rPr>
          <w:rFonts w:asciiTheme="majorHAnsi" w:hAnsiTheme="majorHAnsi" w:cstheme="majorHAnsi"/>
          <w:sz w:val="22"/>
          <w:szCs w:val="22"/>
        </w:rPr>
        <w:t>b</w:t>
      </w:r>
      <w:r w:rsidR="00657917">
        <w:rPr>
          <w:rFonts w:asciiTheme="majorHAnsi" w:hAnsiTheme="majorHAnsi" w:cstheme="majorHAnsi"/>
          <w:sz w:val="22"/>
          <w:szCs w:val="22"/>
        </w:rPr>
        <w:t>ěžného kalendářního roku.</w:t>
      </w:r>
      <w:r w:rsidRPr="0010774B">
        <w:rPr>
          <w:rFonts w:asciiTheme="majorHAnsi" w:hAnsiTheme="majorHAnsi" w:cstheme="majorHAnsi"/>
          <w:sz w:val="22"/>
          <w:szCs w:val="22"/>
        </w:rPr>
        <w:t xml:space="preserve">, je pronajímatel oprávněn účtovat cenu dle platných cen dodavatele v daném aktuálním roce. </w:t>
      </w:r>
    </w:p>
    <w:p w14:paraId="52A7CB8B" w14:textId="77777777" w:rsidR="0010774B" w:rsidRPr="0010774B" w:rsidRDefault="0010774B" w:rsidP="0010774B">
      <w:pPr>
        <w:jc w:val="both"/>
        <w:rPr>
          <w:rFonts w:asciiTheme="majorHAnsi" w:hAnsiTheme="majorHAnsi" w:cstheme="majorHAnsi"/>
          <w:sz w:val="22"/>
          <w:szCs w:val="22"/>
        </w:rPr>
      </w:pPr>
    </w:p>
    <w:p w14:paraId="0A3878CE" w14:textId="77777777"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Účtovacím obdobím je kalendářní rok.</w:t>
      </w:r>
    </w:p>
    <w:p w14:paraId="337F1A21" w14:textId="77777777" w:rsidR="0010774B" w:rsidRPr="0010774B" w:rsidRDefault="0010774B" w:rsidP="0010774B">
      <w:pPr>
        <w:jc w:val="both"/>
        <w:rPr>
          <w:rFonts w:asciiTheme="majorHAnsi" w:hAnsiTheme="majorHAnsi" w:cstheme="majorHAnsi"/>
          <w:sz w:val="22"/>
          <w:szCs w:val="22"/>
        </w:rPr>
      </w:pPr>
    </w:p>
    <w:p w14:paraId="2E1A2CAC" w14:textId="4D0F1236" w:rsidR="0010774B" w:rsidRPr="0010774B" w:rsidRDefault="0010774B" w:rsidP="0010774B">
      <w:pPr>
        <w:jc w:val="both"/>
        <w:rPr>
          <w:rFonts w:asciiTheme="majorHAnsi" w:hAnsiTheme="majorHAnsi" w:cstheme="majorHAnsi"/>
          <w:sz w:val="22"/>
          <w:szCs w:val="22"/>
        </w:rPr>
      </w:pPr>
      <w:r w:rsidRPr="0010774B">
        <w:rPr>
          <w:rFonts w:asciiTheme="majorHAnsi" w:hAnsiTheme="majorHAnsi" w:cstheme="majorHAnsi"/>
          <w:sz w:val="22"/>
          <w:szCs w:val="22"/>
        </w:rPr>
        <w:t>Smluvní strany považují za nesporné, že v případě změny celkové spotřeby služeb účtovaných dle této smlouvy v konkrétním místě odběru nebo změnách cen služeb účtovaných dle této smlouvy, je pronajímatel oprávněn provést jednostranný přepočet záloh a změnit jejich výši</w:t>
      </w:r>
      <w:r w:rsidR="00657917">
        <w:rPr>
          <w:rFonts w:asciiTheme="majorHAnsi" w:hAnsiTheme="majorHAnsi" w:cstheme="majorHAnsi"/>
          <w:sz w:val="22"/>
          <w:szCs w:val="22"/>
        </w:rPr>
        <w:t xml:space="preserve"> či změnit způsob účtování</w:t>
      </w:r>
      <w:r w:rsidRPr="0010774B">
        <w:rPr>
          <w:rFonts w:asciiTheme="majorHAnsi" w:hAnsiTheme="majorHAnsi" w:cstheme="majorHAnsi"/>
          <w:sz w:val="22"/>
          <w:szCs w:val="22"/>
        </w:rPr>
        <w:t xml:space="preserve">. Nová výše zálohy </w:t>
      </w:r>
      <w:r w:rsidR="00657917">
        <w:rPr>
          <w:rFonts w:asciiTheme="majorHAnsi" w:hAnsiTheme="majorHAnsi" w:cstheme="majorHAnsi"/>
          <w:sz w:val="22"/>
          <w:szCs w:val="22"/>
        </w:rPr>
        <w:t xml:space="preserve">či nová změna způsobu účtování </w:t>
      </w:r>
      <w:r w:rsidRPr="0010774B">
        <w:rPr>
          <w:rFonts w:asciiTheme="majorHAnsi" w:hAnsiTheme="majorHAnsi" w:cstheme="majorHAnsi"/>
          <w:sz w:val="22"/>
          <w:szCs w:val="22"/>
        </w:rPr>
        <w:t>bude oznámena nájemci písemně s dostatečným časovým předstihem a nájemce je povinen tuto změnu akceptovat. Nedodržení této povinnosti nájemce je důvodem k ukončení smlouvy dle čl. X., doba nájmu, odst. 3, písm. c) této smlouvy ze strany pronajímatele.</w:t>
      </w:r>
    </w:p>
    <w:p w14:paraId="3D307D4E" w14:textId="77777777" w:rsidR="0010774B" w:rsidRPr="0010774B" w:rsidRDefault="0010774B" w:rsidP="0010774B">
      <w:pPr>
        <w:jc w:val="both"/>
        <w:rPr>
          <w:rFonts w:asciiTheme="majorHAnsi" w:hAnsiTheme="majorHAnsi" w:cstheme="majorHAnsi"/>
          <w:sz w:val="22"/>
          <w:szCs w:val="22"/>
        </w:rPr>
      </w:pPr>
    </w:p>
    <w:p w14:paraId="0843E35E" w14:textId="77777777" w:rsidR="0010774B" w:rsidRPr="0010774B" w:rsidRDefault="0010774B" w:rsidP="0010774B">
      <w:pPr>
        <w:rPr>
          <w:rFonts w:asciiTheme="majorHAnsi" w:hAnsiTheme="majorHAnsi" w:cstheme="majorHAnsi"/>
          <w:b/>
          <w:sz w:val="22"/>
          <w:szCs w:val="22"/>
        </w:rPr>
      </w:pPr>
      <w:r w:rsidRPr="0010774B">
        <w:rPr>
          <w:rFonts w:asciiTheme="majorHAnsi" w:hAnsiTheme="majorHAnsi" w:cstheme="majorHAnsi"/>
          <w:b/>
          <w:sz w:val="22"/>
          <w:szCs w:val="22"/>
        </w:rPr>
        <w:t>Komunální odpad:</w:t>
      </w:r>
    </w:p>
    <w:p w14:paraId="2F76524F" w14:textId="563A838C" w:rsidR="0010774B" w:rsidRPr="0010774B" w:rsidRDefault="0010774B" w:rsidP="0010774B">
      <w:pPr>
        <w:rPr>
          <w:rFonts w:asciiTheme="majorHAnsi" w:hAnsiTheme="majorHAnsi" w:cstheme="majorHAnsi"/>
          <w:sz w:val="22"/>
          <w:szCs w:val="22"/>
        </w:rPr>
      </w:pPr>
      <w:r w:rsidRPr="0010774B">
        <w:rPr>
          <w:rFonts w:asciiTheme="majorHAnsi" w:hAnsiTheme="majorHAnsi" w:cstheme="majorHAnsi"/>
          <w:sz w:val="22"/>
          <w:szCs w:val="22"/>
        </w:rPr>
        <w:t>Nájemce má uzavřenu vlastní smlouvu na odvoz odpadů</w:t>
      </w:r>
    </w:p>
    <w:p w14:paraId="69406D46" w14:textId="77777777" w:rsidR="0010774B" w:rsidRDefault="0010774B" w:rsidP="0010774B">
      <w:pPr>
        <w:rPr>
          <w:rFonts w:asciiTheme="majorHAnsi" w:hAnsiTheme="majorHAnsi" w:cstheme="majorHAnsi"/>
          <w:sz w:val="22"/>
          <w:szCs w:val="22"/>
        </w:rPr>
      </w:pPr>
    </w:p>
    <w:p w14:paraId="21E488EE" w14:textId="0015A05E" w:rsidR="00657917" w:rsidRPr="0010774B" w:rsidRDefault="00657917" w:rsidP="0010774B">
      <w:pPr>
        <w:rPr>
          <w:rFonts w:asciiTheme="majorHAnsi" w:hAnsiTheme="majorHAnsi" w:cstheme="majorHAnsi"/>
          <w:sz w:val="22"/>
          <w:szCs w:val="22"/>
        </w:rPr>
      </w:pPr>
      <w:r>
        <w:rPr>
          <w:rFonts w:asciiTheme="majorHAnsi" w:hAnsiTheme="majorHAnsi" w:cstheme="majorHAnsi"/>
          <w:sz w:val="22"/>
          <w:szCs w:val="22"/>
        </w:rPr>
        <w:t>Žádné další služby pronajímatel nájemci neposkytuje.</w:t>
      </w:r>
    </w:p>
    <w:p w14:paraId="26C140FD" w14:textId="77777777" w:rsidR="0010774B" w:rsidRPr="0010774B" w:rsidRDefault="0010774B">
      <w:pPr>
        <w:pBdr>
          <w:top w:val="nil"/>
          <w:left w:val="nil"/>
          <w:bottom w:val="nil"/>
          <w:right w:val="nil"/>
          <w:between w:val="nil"/>
        </w:pBdr>
        <w:rPr>
          <w:rFonts w:asciiTheme="majorHAnsi" w:eastAsia="Calibri" w:hAnsiTheme="majorHAnsi" w:cstheme="majorHAnsi"/>
          <w:color w:val="000000"/>
          <w:sz w:val="22"/>
          <w:szCs w:val="22"/>
        </w:rPr>
      </w:pPr>
    </w:p>
    <w:sectPr w:rsidR="0010774B" w:rsidRPr="0010774B">
      <w:headerReference w:type="default" r:id="rId9"/>
      <w:footerReference w:type="default" r:id="rId10"/>
      <w:headerReference w:type="first" r:id="rId11"/>
      <w:pgSz w:w="11906" w:h="16838"/>
      <w:pgMar w:top="1985" w:right="1134" w:bottom="720"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73CED" w14:textId="77777777" w:rsidR="00C9131E" w:rsidRDefault="00C9131E">
      <w:r>
        <w:separator/>
      </w:r>
    </w:p>
  </w:endnote>
  <w:endnote w:type="continuationSeparator" w:id="0">
    <w:p w14:paraId="3BDD4744" w14:textId="77777777" w:rsidR="00C9131E" w:rsidRDefault="00C9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AE90A" w14:textId="0E69F433" w:rsidR="005155D1" w:rsidRDefault="005155D1">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color w:val="000000"/>
        <w:sz w:val="22"/>
        <w:szCs w:val="22"/>
      </w:rPr>
      <w:t>Sp. zn. 11.4.3</w:t>
    </w:r>
    <w:r>
      <w:rPr>
        <w:rFonts w:ascii="Calibri" w:eastAsia="Calibri" w:hAnsi="Calibri" w:cs="Calibri"/>
        <w:color w:val="000000"/>
        <w:sz w:val="22"/>
        <w:szCs w:val="22"/>
      </w:rPr>
      <w:tab/>
      <w:t xml:space="preserve">strana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3</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(celkem 7)</w:t>
    </w:r>
    <w:r>
      <w:rPr>
        <w:rFonts w:ascii="Calibri" w:eastAsia="Calibri" w:hAnsi="Calibri" w:cs="Calibri"/>
        <w:color w:val="000000"/>
        <w:sz w:val="22"/>
        <w:szCs w:val="22"/>
      </w:rPr>
      <w:tab/>
      <w:t>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7A87" w14:textId="77777777" w:rsidR="00C9131E" w:rsidRDefault="00C9131E">
      <w:r>
        <w:separator/>
      </w:r>
    </w:p>
  </w:footnote>
  <w:footnote w:type="continuationSeparator" w:id="0">
    <w:p w14:paraId="1D6F074A" w14:textId="77777777" w:rsidR="00C9131E" w:rsidRDefault="00C91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62A2" w14:textId="77777777" w:rsidR="00874F7A" w:rsidRDefault="00D13B94">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noProof/>
        <w:color w:val="000000"/>
      </w:rPr>
      <w:drawing>
        <wp:inline distT="0" distB="0" distL="0" distR="0" wp14:anchorId="753512A7" wp14:editId="77F5B50A">
          <wp:extent cx="1743075" cy="46672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466725"/>
                  </a:xfrm>
                  <a:prstGeom prst="rect">
                    <a:avLst/>
                  </a:prstGeom>
                  <a:noFill/>
                </pic:spPr>
              </pic:pic>
            </a:graphicData>
          </a:graphic>
        </wp:inline>
      </w:drawing>
    </w:r>
    <w:r>
      <w:rPr>
        <w:rFonts w:ascii="Calibri" w:eastAsia="Calibri" w:hAnsi="Calibri" w:cs="Calibri"/>
        <w:color w:val="000000"/>
      </w:rPr>
      <w:tab/>
    </w:r>
    <w:r>
      <w:rPr>
        <w:rFonts w:ascii="Calibri" w:eastAsia="Calibri" w:hAnsi="Calibri" w:cs="Calibri"/>
        <w:color w:val="000000"/>
      </w:rPr>
      <w:tab/>
    </w:r>
    <w:r w:rsidRPr="00D13B94">
      <w:rPr>
        <w:rFonts w:ascii="Calibri" w:eastAsia="Calibri" w:hAnsi="Calibri" w:cs="Calibri"/>
        <w:color w:val="000000"/>
        <w:sz w:val="22"/>
        <w:szCs w:val="22"/>
      </w:rPr>
      <w:t>příloha č. 4</w:t>
    </w:r>
  </w:p>
  <w:p w14:paraId="2E30A059" w14:textId="77777777" w:rsidR="00874F7A" w:rsidRDefault="00874F7A">
    <w:pPr>
      <w:pBdr>
        <w:top w:val="nil"/>
        <w:left w:val="nil"/>
        <w:bottom w:val="nil"/>
        <w:right w:val="nil"/>
        <w:between w:val="nil"/>
      </w:pBdr>
      <w:tabs>
        <w:tab w:val="center" w:pos="4536"/>
        <w:tab w:val="right" w:pos="9072"/>
      </w:tabs>
      <w:rPr>
        <w:rFonts w:ascii="Calibri" w:eastAsia="Calibri" w:hAnsi="Calibri" w:cs="Calibri"/>
        <w:color w:val="000000"/>
        <w:sz w:val="22"/>
        <w:szCs w:val="22"/>
      </w:rPr>
    </w:pPr>
  </w:p>
  <w:p w14:paraId="1A843FC4" w14:textId="128338D0" w:rsidR="00874F7A" w:rsidRPr="00337756" w:rsidRDefault="00874F7A" w:rsidP="00874F7A">
    <w:pPr>
      <w:rPr>
        <w:rFonts w:ascii="Arial" w:eastAsia="Arial" w:hAnsi="Arial" w:cs="Arial"/>
        <w:b/>
        <w:sz w:val="18"/>
      </w:rPr>
    </w:pPr>
    <w:r>
      <w:rPr>
        <w:rFonts w:ascii="Arial" w:eastAsia="Arial" w:hAnsi="Arial" w:cs="Arial"/>
        <w:b/>
        <w:sz w:val="18"/>
      </w:rPr>
      <w:t>č.j. NPÚ-450/xxxxx/2026</w:t>
    </w:r>
    <w:r>
      <w:rPr>
        <w:rFonts w:ascii="Arial" w:eastAsia="Arial" w:hAnsi="Arial" w:cs="Arial"/>
        <w:b/>
        <w:sz w:val="18"/>
      </w:rPr>
      <w:tab/>
    </w:r>
    <w:r>
      <w:rPr>
        <w:rFonts w:eastAsia="Calibri" w:cs="Calibri"/>
      </w:rPr>
      <w:tab/>
    </w:r>
    <w:r>
      <w:rPr>
        <w:rFonts w:eastAsia="Calibri" w:cs="Calibri"/>
      </w:rPr>
      <w:tab/>
      <w:t xml:space="preserve">           </w:t>
    </w:r>
    <w:r>
      <w:rPr>
        <w:rFonts w:eastAsia="Calibri" w:cs="Calibri"/>
      </w:rPr>
      <w:tab/>
    </w:r>
    <w:r>
      <w:rPr>
        <w:rFonts w:eastAsia="Calibri" w:cs="Calibri"/>
      </w:rPr>
      <w:tab/>
    </w:r>
    <w:r>
      <w:rPr>
        <w:rFonts w:ascii="Arial" w:eastAsia="Arial" w:hAnsi="Arial" w:cs="Arial"/>
        <w:b/>
        <w:sz w:val="18"/>
      </w:rPr>
      <w:t xml:space="preserve">Číslo evidenční: ..……………               </w:t>
    </w:r>
    <w:r>
      <w:rPr>
        <w:rFonts w:ascii="Arial" w:eastAsia="Arial" w:hAnsi="Arial" w:cs="Arial"/>
        <w:b/>
        <w:sz w:val="18"/>
      </w:rPr>
      <w:tab/>
      <w:t>zn.: ÚPS</w:t>
    </w:r>
  </w:p>
  <w:p w14:paraId="0F9EA1C7" w14:textId="35D7ADBB" w:rsidR="00B1452C" w:rsidRDefault="0082023E">
    <w:pPr>
      <w:pBdr>
        <w:top w:val="nil"/>
        <w:left w:val="nil"/>
        <w:bottom w:val="nil"/>
        <w:right w:val="nil"/>
        <w:between w:val="nil"/>
      </w:pBdr>
      <w:tabs>
        <w:tab w:val="center" w:pos="4536"/>
        <w:tab w:val="right" w:pos="9072"/>
      </w:tabs>
      <w:rPr>
        <w:rFonts w:ascii="Calibri" w:eastAsia="Calibri" w:hAnsi="Calibri" w:cs="Calibri"/>
        <w:color w:val="000000"/>
        <w:sz w:val="22"/>
        <w:szCs w:val="22"/>
      </w:rPr>
    </w:pPr>
    <w:r>
      <w:rPr>
        <w:rFonts w:ascii="Calibri" w:eastAsia="Calibri" w:hAnsi="Calibri" w:cs="Calibri"/>
        <w:color w:val="000000"/>
      </w:rPr>
      <w:tab/>
    </w:r>
    <w:r>
      <w:rPr>
        <w:rFonts w:ascii="Calibri" w:eastAsia="Calibri" w:hAnsi="Calibri" w:cs="Calibri"/>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126F7" w14:textId="77777777" w:rsidR="00B1452C" w:rsidRDefault="00B1452C">
    <w:pPr>
      <w:pBdr>
        <w:top w:val="nil"/>
        <w:left w:val="nil"/>
        <w:bottom w:val="nil"/>
        <w:right w:val="nil"/>
        <w:between w:val="nil"/>
      </w:pBdr>
      <w:tabs>
        <w:tab w:val="center" w:pos="4536"/>
        <w:tab w:val="right" w:pos="9072"/>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51FAE"/>
    <w:multiLevelType w:val="multilevel"/>
    <w:tmpl w:val="10226C4C"/>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2A27AF9"/>
    <w:multiLevelType w:val="multilevel"/>
    <w:tmpl w:val="4E4E5668"/>
    <w:lvl w:ilvl="0">
      <w:start w:val="1"/>
      <w:numFmt w:val="upperRoman"/>
      <w:suff w:val="nothing"/>
      <w:lvlText w:val="Článek %1."/>
      <w:lvlJc w:val="center"/>
      <w:pPr>
        <w:ind w:left="653" w:firstLine="34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425" w:hanging="425"/>
      </w:pPr>
      <w:rPr>
        <w:rFonts w:hint="default"/>
      </w:rPr>
    </w:lvl>
    <w:lvl w:ilvl="2">
      <w:start w:val="1"/>
      <w:numFmt w:val="lowerLetter"/>
      <w:lvlText w:val="%3."/>
      <w:lvlJc w:val="left"/>
      <w:pPr>
        <w:ind w:left="992"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4ED095F"/>
    <w:multiLevelType w:val="multilevel"/>
    <w:tmpl w:val="49B89AB0"/>
    <w:lvl w:ilvl="0">
      <w:start w:val="1"/>
      <w:numFmt w:val="decimal"/>
      <w:lvlText w:val="%1."/>
      <w:lvlJc w:val="left"/>
      <w:pPr>
        <w:ind w:left="1004" w:hanging="360"/>
      </w:pPr>
      <w:rPr>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15:restartNumberingAfterBreak="0">
    <w:nsid w:val="176B096E"/>
    <w:multiLevelType w:val="multilevel"/>
    <w:tmpl w:val="DB04D368"/>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FA35B68"/>
    <w:multiLevelType w:val="multilevel"/>
    <w:tmpl w:val="C1DC9C6C"/>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4045A97"/>
    <w:multiLevelType w:val="multilevel"/>
    <w:tmpl w:val="5B624BC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250312A9"/>
    <w:multiLevelType w:val="multilevel"/>
    <w:tmpl w:val="0E309C9E"/>
    <w:lvl w:ilvl="0">
      <w:start w:val="1"/>
      <w:numFmt w:val="lowerLetter"/>
      <w:lvlText w:val="%1."/>
      <w:lvlJc w:val="left"/>
      <w:pPr>
        <w:ind w:left="1065" w:hanging="360"/>
      </w:pPr>
      <w:rPr>
        <w:vertAlign w:val="baseline"/>
      </w:rPr>
    </w:lvl>
    <w:lvl w:ilvl="1">
      <w:start w:val="1"/>
      <w:numFmt w:val="bullet"/>
      <w:lvlText w:val="o"/>
      <w:lvlJc w:val="left"/>
      <w:pPr>
        <w:ind w:left="1785" w:hanging="360"/>
      </w:pPr>
      <w:rPr>
        <w:rFonts w:ascii="Courier New" w:eastAsia="Courier New" w:hAnsi="Courier New" w:cs="Courier New"/>
        <w:vertAlign w:val="baseline"/>
      </w:rPr>
    </w:lvl>
    <w:lvl w:ilvl="2">
      <w:start w:val="1"/>
      <w:numFmt w:val="bullet"/>
      <w:lvlText w:val="▪"/>
      <w:lvlJc w:val="left"/>
      <w:pPr>
        <w:ind w:left="2505" w:hanging="360"/>
      </w:pPr>
      <w:rPr>
        <w:rFonts w:ascii="Noto Sans Symbols" w:eastAsia="Noto Sans Symbols" w:hAnsi="Noto Sans Symbols" w:cs="Noto Sans Symbols"/>
        <w:vertAlign w:val="baseline"/>
      </w:rPr>
    </w:lvl>
    <w:lvl w:ilvl="3">
      <w:start w:val="1"/>
      <w:numFmt w:val="bullet"/>
      <w:lvlText w:val="●"/>
      <w:lvlJc w:val="left"/>
      <w:pPr>
        <w:ind w:left="3225" w:hanging="360"/>
      </w:pPr>
      <w:rPr>
        <w:rFonts w:ascii="Noto Sans Symbols" w:eastAsia="Noto Sans Symbols" w:hAnsi="Noto Sans Symbols" w:cs="Noto Sans Symbols"/>
        <w:vertAlign w:val="baseline"/>
      </w:rPr>
    </w:lvl>
    <w:lvl w:ilvl="4">
      <w:start w:val="1"/>
      <w:numFmt w:val="bullet"/>
      <w:lvlText w:val="o"/>
      <w:lvlJc w:val="left"/>
      <w:pPr>
        <w:ind w:left="3945" w:hanging="360"/>
      </w:pPr>
      <w:rPr>
        <w:rFonts w:ascii="Courier New" w:eastAsia="Courier New" w:hAnsi="Courier New" w:cs="Courier New"/>
        <w:vertAlign w:val="baseline"/>
      </w:rPr>
    </w:lvl>
    <w:lvl w:ilvl="5">
      <w:start w:val="1"/>
      <w:numFmt w:val="bullet"/>
      <w:lvlText w:val="▪"/>
      <w:lvlJc w:val="left"/>
      <w:pPr>
        <w:ind w:left="4665" w:hanging="360"/>
      </w:pPr>
      <w:rPr>
        <w:rFonts w:ascii="Noto Sans Symbols" w:eastAsia="Noto Sans Symbols" w:hAnsi="Noto Sans Symbols" w:cs="Noto Sans Symbols"/>
        <w:vertAlign w:val="baseline"/>
      </w:rPr>
    </w:lvl>
    <w:lvl w:ilvl="6">
      <w:start w:val="1"/>
      <w:numFmt w:val="bullet"/>
      <w:lvlText w:val="●"/>
      <w:lvlJc w:val="left"/>
      <w:pPr>
        <w:ind w:left="5385" w:hanging="360"/>
      </w:pPr>
      <w:rPr>
        <w:rFonts w:ascii="Noto Sans Symbols" w:eastAsia="Noto Sans Symbols" w:hAnsi="Noto Sans Symbols" w:cs="Noto Sans Symbols"/>
        <w:vertAlign w:val="baseline"/>
      </w:rPr>
    </w:lvl>
    <w:lvl w:ilvl="7">
      <w:start w:val="1"/>
      <w:numFmt w:val="bullet"/>
      <w:lvlText w:val="o"/>
      <w:lvlJc w:val="left"/>
      <w:pPr>
        <w:ind w:left="6105" w:hanging="360"/>
      </w:pPr>
      <w:rPr>
        <w:rFonts w:ascii="Courier New" w:eastAsia="Courier New" w:hAnsi="Courier New" w:cs="Courier New"/>
        <w:vertAlign w:val="baseline"/>
      </w:rPr>
    </w:lvl>
    <w:lvl w:ilvl="8">
      <w:start w:val="1"/>
      <w:numFmt w:val="bullet"/>
      <w:lvlText w:val="▪"/>
      <w:lvlJc w:val="left"/>
      <w:pPr>
        <w:ind w:left="6825" w:hanging="360"/>
      </w:pPr>
      <w:rPr>
        <w:rFonts w:ascii="Noto Sans Symbols" w:eastAsia="Noto Sans Symbols" w:hAnsi="Noto Sans Symbols" w:cs="Noto Sans Symbols"/>
        <w:vertAlign w:val="baseline"/>
      </w:rPr>
    </w:lvl>
  </w:abstractNum>
  <w:abstractNum w:abstractNumId="7" w15:restartNumberingAfterBreak="0">
    <w:nsid w:val="274B19EB"/>
    <w:multiLevelType w:val="multilevel"/>
    <w:tmpl w:val="152CBF02"/>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290D041D"/>
    <w:multiLevelType w:val="multilevel"/>
    <w:tmpl w:val="DDDE0DB4"/>
    <w:lvl w:ilvl="0">
      <w:start w:val="1"/>
      <w:numFmt w:val="lowerLetter"/>
      <w:lvlText w:val="%1."/>
      <w:lvlJc w:val="left"/>
      <w:pPr>
        <w:ind w:left="1065" w:hanging="360"/>
      </w:pPr>
      <w:rPr>
        <w:vertAlign w:val="baseline"/>
      </w:rPr>
    </w:lvl>
    <w:lvl w:ilvl="1">
      <w:start w:val="1"/>
      <w:numFmt w:val="bullet"/>
      <w:lvlText w:val="o"/>
      <w:lvlJc w:val="left"/>
      <w:pPr>
        <w:ind w:left="1785" w:hanging="360"/>
      </w:pPr>
      <w:rPr>
        <w:rFonts w:ascii="Courier New" w:eastAsia="Courier New" w:hAnsi="Courier New" w:cs="Courier New"/>
        <w:vertAlign w:val="baseline"/>
      </w:rPr>
    </w:lvl>
    <w:lvl w:ilvl="2">
      <w:start w:val="1"/>
      <w:numFmt w:val="bullet"/>
      <w:lvlText w:val="▪"/>
      <w:lvlJc w:val="left"/>
      <w:pPr>
        <w:ind w:left="2505" w:hanging="360"/>
      </w:pPr>
      <w:rPr>
        <w:rFonts w:ascii="Noto Sans Symbols" w:eastAsia="Noto Sans Symbols" w:hAnsi="Noto Sans Symbols" w:cs="Noto Sans Symbols"/>
        <w:vertAlign w:val="baseline"/>
      </w:rPr>
    </w:lvl>
    <w:lvl w:ilvl="3">
      <w:start w:val="1"/>
      <w:numFmt w:val="bullet"/>
      <w:lvlText w:val="●"/>
      <w:lvlJc w:val="left"/>
      <w:pPr>
        <w:ind w:left="3225" w:hanging="360"/>
      </w:pPr>
      <w:rPr>
        <w:rFonts w:ascii="Noto Sans Symbols" w:eastAsia="Noto Sans Symbols" w:hAnsi="Noto Sans Symbols" w:cs="Noto Sans Symbols"/>
        <w:vertAlign w:val="baseline"/>
      </w:rPr>
    </w:lvl>
    <w:lvl w:ilvl="4">
      <w:start w:val="1"/>
      <w:numFmt w:val="bullet"/>
      <w:lvlText w:val="o"/>
      <w:lvlJc w:val="left"/>
      <w:pPr>
        <w:ind w:left="3945" w:hanging="360"/>
      </w:pPr>
      <w:rPr>
        <w:rFonts w:ascii="Courier New" w:eastAsia="Courier New" w:hAnsi="Courier New" w:cs="Courier New"/>
        <w:vertAlign w:val="baseline"/>
      </w:rPr>
    </w:lvl>
    <w:lvl w:ilvl="5">
      <w:start w:val="1"/>
      <w:numFmt w:val="bullet"/>
      <w:lvlText w:val="▪"/>
      <w:lvlJc w:val="left"/>
      <w:pPr>
        <w:ind w:left="4665" w:hanging="360"/>
      </w:pPr>
      <w:rPr>
        <w:rFonts w:ascii="Noto Sans Symbols" w:eastAsia="Noto Sans Symbols" w:hAnsi="Noto Sans Symbols" w:cs="Noto Sans Symbols"/>
        <w:vertAlign w:val="baseline"/>
      </w:rPr>
    </w:lvl>
    <w:lvl w:ilvl="6">
      <w:start w:val="1"/>
      <w:numFmt w:val="bullet"/>
      <w:lvlText w:val="●"/>
      <w:lvlJc w:val="left"/>
      <w:pPr>
        <w:ind w:left="5385" w:hanging="360"/>
      </w:pPr>
      <w:rPr>
        <w:rFonts w:ascii="Noto Sans Symbols" w:eastAsia="Noto Sans Symbols" w:hAnsi="Noto Sans Symbols" w:cs="Noto Sans Symbols"/>
        <w:vertAlign w:val="baseline"/>
      </w:rPr>
    </w:lvl>
    <w:lvl w:ilvl="7">
      <w:start w:val="1"/>
      <w:numFmt w:val="bullet"/>
      <w:lvlText w:val="o"/>
      <w:lvlJc w:val="left"/>
      <w:pPr>
        <w:ind w:left="6105" w:hanging="360"/>
      </w:pPr>
      <w:rPr>
        <w:rFonts w:ascii="Courier New" w:eastAsia="Courier New" w:hAnsi="Courier New" w:cs="Courier New"/>
        <w:vertAlign w:val="baseline"/>
      </w:rPr>
    </w:lvl>
    <w:lvl w:ilvl="8">
      <w:start w:val="1"/>
      <w:numFmt w:val="bullet"/>
      <w:lvlText w:val="▪"/>
      <w:lvlJc w:val="left"/>
      <w:pPr>
        <w:ind w:left="6825" w:hanging="360"/>
      </w:pPr>
      <w:rPr>
        <w:rFonts w:ascii="Noto Sans Symbols" w:eastAsia="Noto Sans Symbols" w:hAnsi="Noto Sans Symbols" w:cs="Noto Sans Symbols"/>
        <w:vertAlign w:val="baseline"/>
      </w:rPr>
    </w:lvl>
  </w:abstractNum>
  <w:abstractNum w:abstractNumId="9" w15:restartNumberingAfterBreak="0">
    <w:nsid w:val="352F0C80"/>
    <w:multiLevelType w:val="multilevel"/>
    <w:tmpl w:val="9702C404"/>
    <w:lvl w:ilvl="0">
      <w:start w:val="1"/>
      <w:numFmt w:val="upperRoman"/>
      <w:lvlText w:val="Článek %1."/>
      <w:lvlJc w:val="center"/>
      <w:pPr>
        <w:ind w:left="653" w:firstLine="340"/>
      </w:pPr>
      <w:rPr>
        <w:i w:val="0"/>
        <w:smallCaps w:val="0"/>
        <w:strike w:val="0"/>
        <w:u w:val="none"/>
        <w:vertAlign w:val="baseline"/>
      </w:rPr>
    </w:lvl>
    <w:lvl w:ilvl="1">
      <w:start w:val="1"/>
      <w:numFmt w:val="decimal"/>
      <w:lvlText w:val="%2."/>
      <w:lvlJc w:val="left"/>
      <w:pPr>
        <w:ind w:left="425" w:hanging="425"/>
      </w:pPr>
      <w:rPr>
        <w:vertAlign w:val="baseline"/>
      </w:rPr>
    </w:lvl>
    <w:lvl w:ilvl="2">
      <w:start w:val="1"/>
      <w:numFmt w:val="lowerLetter"/>
      <w:lvlText w:val="%3."/>
      <w:lvlJc w:val="left"/>
      <w:pPr>
        <w:ind w:left="992" w:hanging="425"/>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10" w15:restartNumberingAfterBreak="0">
    <w:nsid w:val="43030972"/>
    <w:multiLevelType w:val="multilevel"/>
    <w:tmpl w:val="0E3087D2"/>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 w15:restartNumberingAfterBreak="0">
    <w:nsid w:val="48412EE9"/>
    <w:multiLevelType w:val="hybridMultilevel"/>
    <w:tmpl w:val="C99ABC6C"/>
    <w:lvl w:ilvl="0" w:tplc="FFFFFFFF">
      <w:start w:val="1"/>
      <w:numFmt w:val="decimal"/>
      <w:lvlText w:val="%1."/>
      <w:lvlJc w:val="left"/>
      <w:pPr>
        <w:ind w:left="360" w:hanging="360"/>
      </w:pPr>
      <w:rPr>
        <w:rFonts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D74192E"/>
    <w:multiLevelType w:val="multilevel"/>
    <w:tmpl w:val="7A2A37C2"/>
    <w:lvl w:ilvl="0">
      <w:start w:val="1"/>
      <w:numFmt w:val="decimal"/>
      <w:lvlText w:val="%1."/>
      <w:lvlJc w:val="left"/>
      <w:pPr>
        <w:ind w:left="360" w:hanging="360"/>
      </w:pPr>
      <w:rPr>
        <w:b w:val="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3" w15:restartNumberingAfterBreak="0">
    <w:nsid w:val="5BE40CF3"/>
    <w:multiLevelType w:val="multilevel"/>
    <w:tmpl w:val="11E28F5C"/>
    <w:lvl w:ilvl="0">
      <w:start w:val="1"/>
      <w:numFmt w:val="decimal"/>
      <w:lvlText w:val="%1."/>
      <w:lvlJc w:val="left"/>
      <w:pPr>
        <w:ind w:left="1004"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4" w15:restartNumberingAfterBreak="0">
    <w:nsid w:val="5FD7118B"/>
    <w:multiLevelType w:val="multilevel"/>
    <w:tmpl w:val="7EAC0502"/>
    <w:lvl w:ilvl="0">
      <w:start w:val="1"/>
      <w:numFmt w:val="lowerLetter"/>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5" w15:restartNumberingAfterBreak="0">
    <w:nsid w:val="6EA334BF"/>
    <w:multiLevelType w:val="multilevel"/>
    <w:tmpl w:val="86EC8DD6"/>
    <w:lvl w:ilvl="0">
      <w:start w:val="1"/>
      <w:numFmt w:val="decimal"/>
      <w:lvlText w:val="%1."/>
      <w:lvlJc w:val="left"/>
      <w:pPr>
        <w:ind w:left="1004" w:hanging="360"/>
      </w:pPr>
      <w:rPr>
        <w:vertAlign w:val="baseline"/>
      </w:rPr>
    </w:lvl>
    <w:lvl w:ilvl="1">
      <w:start w:val="1"/>
      <w:numFmt w:val="lowerLetter"/>
      <w:lvlText w:val="%2."/>
      <w:lvlJc w:val="left"/>
      <w:pPr>
        <w:ind w:left="1724" w:hanging="360"/>
      </w:pPr>
      <w:rPr>
        <w:b w:val="0"/>
        <w:i w:val="0"/>
        <w:sz w:val="22"/>
        <w:szCs w:val="22"/>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15:restartNumberingAfterBreak="0">
    <w:nsid w:val="781479D4"/>
    <w:multiLevelType w:val="multilevel"/>
    <w:tmpl w:val="1FD8267C"/>
    <w:lvl w:ilvl="0">
      <w:start w:val="1"/>
      <w:numFmt w:val="decimal"/>
      <w:lvlText w:val="%1."/>
      <w:lvlJc w:val="left"/>
      <w:pPr>
        <w:ind w:left="720" w:hanging="360"/>
      </w:pPr>
      <w:rPr>
        <w:rFonts w:hint="default"/>
      </w:rPr>
    </w:lvl>
    <w:lvl w:ilvl="1">
      <w:start w:val="1"/>
      <w:numFmt w:val="decimal"/>
      <w:lvlText w:val="%2."/>
      <w:lvlJc w:val="left"/>
      <w:pPr>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9DA6F00"/>
    <w:multiLevelType w:val="multilevel"/>
    <w:tmpl w:val="3F54CFC2"/>
    <w:lvl w:ilvl="0">
      <w:start w:val="1"/>
      <w:numFmt w:val="decimal"/>
      <w:lvlText w:val="%1."/>
      <w:lvlJc w:val="left"/>
      <w:pPr>
        <w:ind w:left="720" w:hanging="360"/>
      </w:pPr>
      <w:rPr>
        <w:vertAlign w:val="baseline"/>
      </w:rPr>
    </w:lvl>
    <w:lvl w:ilvl="1">
      <w:start w:val="1"/>
      <w:numFmt w:val="decimal"/>
      <w:lvlText w:val="%2."/>
      <w:lvlJc w:val="left"/>
      <w:pPr>
        <w:ind w:left="425" w:hanging="42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9F56DB0"/>
    <w:multiLevelType w:val="hybridMultilevel"/>
    <w:tmpl w:val="4FA4D3B8"/>
    <w:lvl w:ilvl="0" w:tplc="2BBC1AE6">
      <w:numFmt w:val="bullet"/>
      <w:lvlText w:val="-"/>
      <w:lvlJc w:val="left"/>
      <w:pPr>
        <w:ind w:left="1505" w:hanging="360"/>
      </w:pPr>
      <w:rPr>
        <w:rFonts w:ascii="Calibri" w:eastAsia="Times New Roman" w:hAnsi="Calibri" w:cs="Calibri"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num w:numId="1" w16cid:durableId="301154987">
    <w:abstractNumId w:val="8"/>
  </w:num>
  <w:num w:numId="2" w16cid:durableId="667171781">
    <w:abstractNumId w:val="2"/>
  </w:num>
  <w:num w:numId="3" w16cid:durableId="1462917819">
    <w:abstractNumId w:val="13"/>
  </w:num>
  <w:num w:numId="4" w16cid:durableId="180318593">
    <w:abstractNumId w:val="3"/>
  </w:num>
  <w:num w:numId="5" w16cid:durableId="1326011968">
    <w:abstractNumId w:val="14"/>
  </w:num>
  <w:num w:numId="6" w16cid:durableId="587349132">
    <w:abstractNumId w:val="10"/>
  </w:num>
  <w:num w:numId="7" w16cid:durableId="1851680562">
    <w:abstractNumId w:val="0"/>
  </w:num>
  <w:num w:numId="8" w16cid:durableId="1223250247">
    <w:abstractNumId w:val="4"/>
  </w:num>
  <w:num w:numId="9" w16cid:durableId="1179657711">
    <w:abstractNumId w:val="7"/>
  </w:num>
  <w:num w:numId="10" w16cid:durableId="749734397">
    <w:abstractNumId w:val="5"/>
  </w:num>
  <w:num w:numId="11" w16cid:durableId="521286719">
    <w:abstractNumId w:val="12"/>
  </w:num>
  <w:num w:numId="12" w16cid:durableId="351536889">
    <w:abstractNumId w:val="9"/>
  </w:num>
  <w:num w:numId="13" w16cid:durableId="1802961306">
    <w:abstractNumId w:val="6"/>
  </w:num>
  <w:num w:numId="14" w16cid:durableId="1972974698">
    <w:abstractNumId w:val="17"/>
  </w:num>
  <w:num w:numId="15" w16cid:durableId="1962220267">
    <w:abstractNumId w:val="15"/>
  </w:num>
  <w:num w:numId="16" w16cid:durableId="1734886667">
    <w:abstractNumId w:val="1"/>
  </w:num>
  <w:num w:numId="17" w16cid:durableId="11254661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57233140">
    <w:abstractNumId w:val="18"/>
  </w:num>
  <w:num w:numId="19" w16cid:durableId="1554079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52C"/>
    <w:rsid w:val="00003712"/>
    <w:rsid w:val="00076E70"/>
    <w:rsid w:val="0010774B"/>
    <w:rsid w:val="00161B65"/>
    <w:rsid w:val="002750DA"/>
    <w:rsid w:val="003F6F40"/>
    <w:rsid w:val="004150FE"/>
    <w:rsid w:val="004874D6"/>
    <w:rsid w:val="005155D1"/>
    <w:rsid w:val="006047E1"/>
    <w:rsid w:val="00657917"/>
    <w:rsid w:val="0082023E"/>
    <w:rsid w:val="00822E18"/>
    <w:rsid w:val="00825F7D"/>
    <w:rsid w:val="0085137A"/>
    <w:rsid w:val="0085680E"/>
    <w:rsid w:val="0086601D"/>
    <w:rsid w:val="00874F7A"/>
    <w:rsid w:val="008C3590"/>
    <w:rsid w:val="008F6B2A"/>
    <w:rsid w:val="0095057F"/>
    <w:rsid w:val="009528E9"/>
    <w:rsid w:val="009948E5"/>
    <w:rsid w:val="009F5774"/>
    <w:rsid w:val="00A11F5D"/>
    <w:rsid w:val="00AF5FDC"/>
    <w:rsid w:val="00B015CE"/>
    <w:rsid w:val="00B1452C"/>
    <w:rsid w:val="00B17B48"/>
    <w:rsid w:val="00B41581"/>
    <w:rsid w:val="00BD0B03"/>
    <w:rsid w:val="00BF79C4"/>
    <w:rsid w:val="00C27FA2"/>
    <w:rsid w:val="00C9131E"/>
    <w:rsid w:val="00D13B94"/>
    <w:rsid w:val="00D55D8F"/>
    <w:rsid w:val="00E13CEE"/>
    <w:rsid w:val="00E27B66"/>
    <w:rsid w:val="00E36599"/>
    <w:rsid w:val="00F33CBD"/>
    <w:rsid w:val="00F61F65"/>
    <w:rsid w:val="00F82A21"/>
    <w:rsid w:val="00FA0527"/>
    <w:rsid w:val="00FE75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E491A"/>
  <w15:docId w15:val="{26C0B8ED-3C3A-4F4C-8000-74366683D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aliases w:val="článek smlouva"/>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styleId="Textkomente">
    <w:name w:val="annotation text"/>
    <w:basedOn w:val="Normln"/>
    <w:link w:val="TextkomenteChar"/>
    <w:uiPriority w:val="99"/>
    <w:unhideWhenUsed/>
  </w:style>
  <w:style w:type="character" w:customStyle="1" w:styleId="TextkomenteChar">
    <w:name w:val="Text komentáře Char"/>
    <w:basedOn w:val="Standardnpsmoodstavce"/>
    <w:link w:val="Textkomente"/>
    <w:uiPriority w:val="99"/>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FE7585"/>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E7585"/>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B015CE"/>
    <w:rPr>
      <w:b/>
      <w:bCs/>
    </w:rPr>
  </w:style>
  <w:style w:type="character" w:customStyle="1" w:styleId="PedmtkomenteChar">
    <w:name w:val="Předmět komentáře Char"/>
    <w:basedOn w:val="TextkomenteChar"/>
    <w:link w:val="Pedmtkomente"/>
    <w:uiPriority w:val="99"/>
    <w:semiHidden/>
    <w:rsid w:val="00B015CE"/>
    <w:rPr>
      <w:b/>
      <w:bCs/>
    </w:rPr>
  </w:style>
  <w:style w:type="paragraph" w:styleId="Odstavecseseznamem">
    <w:name w:val="List Paragraph"/>
    <w:basedOn w:val="Normln"/>
    <w:uiPriority w:val="34"/>
    <w:qFormat/>
    <w:rsid w:val="004150FE"/>
    <w:pPr>
      <w:ind w:left="720"/>
      <w:contextualSpacing/>
    </w:pPr>
  </w:style>
  <w:style w:type="paragraph" w:styleId="Zpat">
    <w:name w:val="footer"/>
    <w:basedOn w:val="Normln"/>
    <w:link w:val="ZpatChar"/>
    <w:uiPriority w:val="99"/>
    <w:unhideWhenUsed/>
    <w:rsid w:val="005155D1"/>
    <w:pPr>
      <w:tabs>
        <w:tab w:val="center" w:pos="4536"/>
        <w:tab w:val="right" w:pos="9072"/>
      </w:tabs>
    </w:pPr>
  </w:style>
  <w:style w:type="character" w:customStyle="1" w:styleId="ZpatChar">
    <w:name w:val="Zápatí Char"/>
    <w:basedOn w:val="Standardnpsmoodstavce"/>
    <w:link w:val="Zpat"/>
    <w:uiPriority w:val="99"/>
    <w:rsid w:val="005155D1"/>
  </w:style>
  <w:style w:type="paragraph" w:styleId="Zhlav">
    <w:name w:val="header"/>
    <w:basedOn w:val="Normln"/>
    <w:link w:val="ZhlavChar"/>
    <w:uiPriority w:val="99"/>
    <w:unhideWhenUsed/>
    <w:rsid w:val="00874F7A"/>
    <w:pPr>
      <w:tabs>
        <w:tab w:val="center" w:pos="4536"/>
        <w:tab w:val="right" w:pos="9072"/>
      </w:tabs>
    </w:pPr>
  </w:style>
  <w:style w:type="character" w:customStyle="1" w:styleId="ZhlavChar">
    <w:name w:val="Záhlaví Char"/>
    <w:basedOn w:val="Standardnpsmoodstavce"/>
    <w:link w:val="Zhlav"/>
    <w:uiPriority w:val="99"/>
    <w:rsid w:val="00874F7A"/>
  </w:style>
  <w:style w:type="paragraph" w:customStyle="1" w:styleId="odstavce">
    <w:name w:val="odstavce"/>
    <w:basedOn w:val="Normln"/>
    <w:link w:val="odstavceChar"/>
    <w:qFormat/>
    <w:rsid w:val="00874F7A"/>
    <w:pPr>
      <w:spacing w:after="60"/>
      <w:ind w:left="425" w:hanging="425"/>
      <w:jc w:val="both"/>
      <w:outlineLvl w:val="1"/>
    </w:pPr>
    <w:rPr>
      <w:rFonts w:ascii="Calibri" w:hAnsi="Calibri"/>
      <w:sz w:val="22"/>
      <w:szCs w:val="22"/>
      <w:lang w:val="x-none" w:eastAsia="x-none"/>
    </w:rPr>
  </w:style>
  <w:style w:type="paragraph" w:customStyle="1" w:styleId="psm">
    <w:name w:val="písm"/>
    <w:basedOn w:val="odstavce"/>
    <w:link w:val="psmChar"/>
    <w:qFormat/>
    <w:rsid w:val="00874F7A"/>
    <w:pPr>
      <w:ind w:left="992"/>
    </w:pPr>
  </w:style>
  <w:style w:type="character" w:customStyle="1" w:styleId="psmChar">
    <w:name w:val="písm Char"/>
    <w:basedOn w:val="Standardnpsmoodstavce"/>
    <w:link w:val="psm"/>
    <w:rsid w:val="00874F7A"/>
    <w:rPr>
      <w:rFonts w:ascii="Calibri" w:hAnsi="Calibri"/>
      <w:sz w:val="22"/>
      <w:szCs w:val="22"/>
      <w:lang w:val="x-none" w:eastAsia="x-none"/>
    </w:rPr>
  </w:style>
  <w:style w:type="character" w:customStyle="1" w:styleId="odstavceChar">
    <w:name w:val="odstavce Char"/>
    <w:link w:val="odstavce"/>
    <w:rsid w:val="0010774B"/>
    <w:rPr>
      <w:rFonts w:ascii="Calibri" w:hAnsi="Calibri"/>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pu.c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3218</Words>
  <Characters>18987</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Kopačková Slávka</dc:creator>
  <cp:lastModifiedBy>Šnajdarová Dagmar</cp:lastModifiedBy>
  <cp:revision>2</cp:revision>
  <dcterms:created xsi:type="dcterms:W3CDTF">2026-09-30T06:27:00Z</dcterms:created>
  <dcterms:modified xsi:type="dcterms:W3CDTF">2026-09-30T06:27:00Z</dcterms:modified>
</cp:coreProperties>
</file>