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1B77" w14:textId="00818E1D" w:rsidR="00A37E51" w:rsidRDefault="00A37E51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22995C" wp14:editId="63624B4A">
            <wp:extent cx="2688590" cy="939165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359367" w14:textId="77777777" w:rsidR="00A37E51" w:rsidRDefault="00A37E51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70B3883" w14:textId="77777777" w:rsidR="00A37E51" w:rsidRDefault="00A37E51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4B1636B" w14:textId="31AB633F" w:rsidR="008427C1" w:rsidRDefault="009E0D8F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243FBC1E" w14:textId="77777777" w:rsidR="008427C1" w:rsidRDefault="009E0D8F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3C207FE0" w14:textId="77777777" w:rsidR="008427C1" w:rsidRDefault="009E0D8F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45D677F6" w14:textId="77777777" w:rsidR="0092238D" w:rsidRPr="0092238D" w:rsidRDefault="00281F3D" w:rsidP="0092238D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zastoupen: </w:t>
      </w:r>
      <w:r w:rsidR="0092238D">
        <w:rPr>
          <w:rFonts w:ascii="Calibri" w:eastAsia="Calibri" w:hAnsi="Calibri" w:cs="Calibri"/>
          <w:color w:val="000000"/>
          <w:sz w:val="22"/>
          <w:szCs w:val="22"/>
        </w:rPr>
        <w:t>PhDr</w:t>
      </w:r>
      <w:r w:rsidR="0092238D" w:rsidRPr="0092238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92238D">
        <w:rPr>
          <w:rFonts w:ascii="Calibri" w:eastAsia="Calibri" w:hAnsi="Calibri" w:cs="Calibri"/>
          <w:color w:val="000000"/>
          <w:sz w:val="22"/>
          <w:szCs w:val="22"/>
        </w:rPr>
        <w:t>Petrem</w:t>
      </w:r>
      <w:r w:rsidR="0092238D" w:rsidRPr="0092238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2238D">
        <w:rPr>
          <w:rFonts w:ascii="Calibri" w:eastAsia="Calibri" w:hAnsi="Calibri" w:cs="Calibri"/>
          <w:color w:val="000000"/>
          <w:sz w:val="22"/>
          <w:szCs w:val="22"/>
        </w:rPr>
        <w:t>Hrubým</w:t>
      </w:r>
      <w:r w:rsidR="0092238D" w:rsidRPr="0092238D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92238D">
        <w:rPr>
          <w:rFonts w:ascii="Calibri" w:eastAsia="Calibri" w:hAnsi="Calibri" w:cs="Calibri"/>
          <w:color w:val="000000"/>
          <w:sz w:val="22"/>
          <w:szCs w:val="22"/>
        </w:rPr>
        <w:t>ředitelem NPÚ – ÚPS v Ústí nad Labem</w:t>
      </w:r>
      <w:r w:rsidR="0092238D" w:rsidRPr="0092238D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4FC4EC10" w14:textId="77777777" w:rsidR="008427C1" w:rsidRDefault="0092238D" w:rsidP="0092238D">
      <w:pP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 w:rsidRPr="0092238D">
        <w:rPr>
          <w:rFonts w:ascii="Calibri" w:eastAsia="Calibri" w:hAnsi="Calibri" w:cs="Calibri"/>
          <w:color w:val="000000"/>
          <w:sz w:val="22"/>
          <w:szCs w:val="22"/>
        </w:rPr>
        <w:t>bankovní spojení: Česká národní banka, č. ú.: 200002-60039011/0710</w:t>
      </w:r>
    </w:p>
    <w:p w14:paraId="50A0F788" w14:textId="77777777" w:rsidR="008427C1" w:rsidRDefault="00F30F1E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zástupce pro věcná jednání</w:t>
      </w:r>
      <w:r w:rsidRPr="00F30F1E">
        <w:rPr>
          <w:rFonts w:ascii="Calibri" w:eastAsia="Calibri" w:hAnsi="Calibri" w:cs="Calibri"/>
          <w:color w:val="000000"/>
          <w:sz w:val="22"/>
          <w:szCs w:val="22"/>
        </w:rPr>
        <w:t>: Bc. Libor Knížek</w:t>
      </w:r>
      <w:r>
        <w:rPr>
          <w:rFonts w:ascii="Calibri" w:eastAsia="Calibri" w:hAnsi="Calibri" w:cs="Calibri"/>
          <w:color w:val="000000"/>
          <w:sz w:val="22"/>
          <w:szCs w:val="22"/>
        </w:rPr>
        <w:t>, vedoucí správy</w:t>
      </w:r>
      <w:r w:rsidRPr="00F30F1E">
        <w:rPr>
          <w:rFonts w:ascii="Calibri" w:eastAsia="Calibri" w:hAnsi="Calibri" w:cs="Calibri"/>
          <w:color w:val="000000"/>
          <w:sz w:val="22"/>
          <w:szCs w:val="22"/>
        </w:rPr>
        <w:t xml:space="preserve"> SZ Hořovice</w:t>
      </w:r>
    </w:p>
    <w:p w14:paraId="4A44EE74" w14:textId="77777777" w:rsidR="00F30F1E" w:rsidRDefault="00F30F1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17CAE02" w14:textId="77777777" w:rsidR="008427C1" w:rsidRDefault="009E0D8F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Doručovací adresa:</w:t>
      </w:r>
    </w:p>
    <w:p w14:paraId="372C62B6" w14:textId="77777777" w:rsidR="0092238D" w:rsidRPr="0092238D" w:rsidRDefault="0092238D" w:rsidP="0092238D">
      <w:pPr>
        <w:rPr>
          <w:rFonts w:ascii="Calibri" w:eastAsia="Calibri" w:hAnsi="Calibri" w:cs="Calibri"/>
          <w:color w:val="000000"/>
          <w:sz w:val="22"/>
          <w:szCs w:val="22"/>
        </w:rPr>
      </w:pPr>
      <w:r w:rsidRPr="0092238D">
        <w:rPr>
          <w:rFonts w:ascii="Calibri" w:eastAsia="Calibri" w:hAnsi="Calibri" w:cs="Calibri"/>
          <w:color w:val="000000"/>
          <w:sz w:val="22"/>
          <w:szCs w:val="22"/>
        </w:rPr>
        <w:t xml:space="preserve">Národní památkový ústav, </w:t>
      </w:r>
      <w:r w:rsidR="00C00DD3">
        <w:rPr>
          <w:rFonts w:ascii="Calibri" w:eastAsia="Calibri" w:hAnsi="Calibri" w:cs="Calibri"/>
          <w:color w:val="000000"/>
          <w:sz w:val="22"/>
          <w:szCs w:val="22"/>
        </w:rPr>
        <w:t>územní památková správa v Ústí nad Labem</w:t>
      </w:r>
    </w:p>
    <w:p w14:paraId="3CD3ADBE" w14:textId="77777777" w:rsidR="0092238D" w:rsidRPr="0092238D" w:rsidRDefault="0092238D" w:rsidP="0092238D">
      <w:pPr>
        <w:rPr>
          <w:rFonts w:ascii="Calibri" w:eastAsia="Calibri" w:hAnsi="Calibri" w:cs="Calibri"/>
          <w:color w:val="000000"/>
          <w:sz w:val="22"/>
          <w:szCs w:val="22"/>
        </w:rPr>
      </w:pPr>
      <w:r w:rsidRPr="0092238D"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r w:rsidR="00C00DD3">
        <w:rPr>
          <w:rFonts w:ascii="Calibri" w:eastAsia="Calibri" w:hAnsi="Calibri" w:cs="Calibri"/>
          <w:color w:val="000000"/>
          <w:sz w:val="22"/>
          <w:szCs w:val="22"/>
        </w:rPr>
        <w:t>Podmokelská 1/15</w:t>
      </w:r>
      <w:r w:rsidRPr="0092238D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C00DD3">
        <w:rPr>
          <w:rFonts w:ascii="Calibri" w:eastAsia="Calibri" w:hAnsi="Calibri" w:cs="Calibri"/>
          <w:color w:val="000000"/>
          <w:sz w:val="22"/>
          <w:szCs w:val="22"/>
        </w:rPr>
        <w:t>400 07 Ústí nad Labem</w:t>
      </w:r>
      <w:r w:rsidRPr="0092238D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1FBD32C2" w14:textId="77777777" w:rsidR="008427C1" w:rsidRDefault="0092238D" w:rsidP="0092238D">
      <w:pP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 w:rsidRPr="0092238D">
        <w:rPr>
          <w:rFonts w:ascii="Calibri" w:eastAsia="Calibri" w:hAnsi="Calibri" w:cs="Calibri"/>
          <w:color w:val="000000"/>
          <w:sz w:val="22"/>
          <w:szCs w:val="22"/>
        </w:rPr>
        <w:t xml:space="preserve">e-mail: </w:t>
      </w:r>
      <w:r w:rsidR="00C00DD3">
        <w:rPr>
          <w:rFonts w:ascii="Calibri" w:eastAsia="Calibri" w:hAnsi="Calibri" w:cs="Calibri"/>
          <w:color w:val="000000"/>
          <w:sz w:val="22"/>
          <w:szCs w:val="22"/>
        </w:rPr>
        <w:t>epodatelna</w:t>
      </w:r>
      <w:r w:rsidRPr="0092238D">
        <w:rPr>
          <w:rFonts w:ascii="Calibri" w:eastAsia="Calibri" w:hAnsi="Calibri" w:cs="Calibri"/>
          <w:color w:val="000000"/>
          <w:sz w:val="22"/>
          <w:szCs w:val="22"/>
        </w:rPr>
        <w:t>@npu.cz</w:t>
      </w:r>
    </w:p>
    <w:p w14:paraId="3851030F" w14:textId="77777777" w:rsidR="008427C1" w:rsidRDefault="009E0D8F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pronajímatel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16EF3456" w14:textId="77777777" w:rsidR="008427C1" w:rsidRDefault="008427C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1B79191" w14:textId="77777777" w:rsidR="008427C1" w:rsidRDefault="009E0D8F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2A586F13" w14:textId="77777777" w:rsidR="008427C1" w:rsidRDefault="008427C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DA9E812" w14:textId="77777777" w:rsidR="00537AE1" w:rsidRPr="00537AE1" w:rsidRDefault="00DD05AE" w:rsidP="00537AE1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D05AE"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  <w:t>XXXXXXXXXXXXXXXXXXXXX</w:t>
      </w:r>
    </w:p>
    <w:p w14:paraId="1A38CEE9" w14:textId="77777777" w:rsidR="00537AE1" w:rsidRPr="00537AE1" w:rsidRDefault="00537AE1" w:rsidP="00537AE1">
      <w:pPr>
        <w:rPr>
          <w:rFonts w:ascii="Calibri" w:eastAsia="Calibri" w:hAnsi="Calibri" w:cs="Calibri"/>
          <w:color w:val="000000"/>
          <w:sz w:val="22"/>
          <w:szCs w:val="22"/>
        </w:rPr>
      </w:pPr>
      <w:r w:rsidRPr="00537AE1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DD05AE" w:rsidRPr="00DD05AE">
        <w:rPr>
          <w:rFonts w:ascii="Calibri" w:eastAsia="Calibri" w:hAnsi="Calibri" w:cs="Calibri"/>
          <w:color w:val="000000"/>
          <w:sz w:val="22"/>
          <w:szCs w:val="22"/>
          <w:highlight w:val="yellow"/>
        </w:rPr>
        <w:t>XXXXXXXXXXXX</w:t>
      </w:r>
    </w:p>
    <w:p w14:paraId="1066885B" w14:textId="77777777" w:rsidR="00537AE1" w:rsidRPr="00537AE1" w:rsidRDefault="00537AE1" w:rsidP="00537AE1">
      <w:pPr>
        <w:rPr>
          <w:rFonts w:ascii="Calibri" w:eastAsia="Calibri" w:hAnsi="Calibri" w:cs="Calibri"/>
          <w:color w:val="000000"/>
          <w:sz w:val="22"/>
          <w:szCs w:val="22"/>
        </w:rPr>
      </w:pPr>
      <w:r w:rsidRPr="00537AE1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DD05AE" w:rsidRPr="00DD05AE">
        <w:rPr>
          <w:rFonts w:ascii="Calibri" w:eastAsia="Calibri" w:hAnsi="Calibri" w:cs="Calibri"/>
          <w:color w:val="000000"/>
          <w:sz w:val="22"/>
          <w:szCs w:val="22"/>
          <w:highlight w:val="yellow"/>
        </w:rPr>
        <w:t>XXXXXXXXXXXXXXXXXXXXX</w:t>
      </w:r>
      <w:r w:rsidRPr="00537AE1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4889B804" w14:textId="77777777" w:rsidR="008427C1" w:rsidRPr="00537AE1" w:rsidRDefault="00537AE1" w:rsidP="00537AE1">
      <w:pP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 w:rsidRPr="00537AE1">
        <w:rPr>
          <w:rFonts w:ascii="Calibri" w:eastAsia="Calibri" w:hAnsi="Calibri" w:cs="Calibri"/>
          <w:color w:val="000000"/>
          <w:sz w:val="22"/>
          <w:szCs w:val="22"/>
        </w:rPr>
        <w:t xml:space="preserve">zastoupen: </w:t>
      </w:r>
      <w:r w:rsidR="00DD05AE" w:rsidRPr="00DD05AE">
        <w:rPr>
          <w:rFonts w:ascii="Calibri" w:eastAsia="Calibri" w:hAnsi="Calibri" w:cs="Calibri"/>
          <w:color w:val="000000"/>
          <w:sz w:val="22"/>
          <w:szCs w:val="22"/>
          <w:highlight w:val="yellow"/>
        </w:rPr>
        <w:t>XXXXXXXXXXXXXXXXXXXX</w:t>
      </w:r>
    </w:p>
    <w:p w14:paraId="66654AB1" w14:textId="77777777" w:rsidR="008427C1" w:rsidRDefault="009E0D8F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nájemce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56EF4EF4" w14:textId="77777777" w:rsidR="008427C1" w:rsidRDefault="008427C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5B4BAA3" w14:textId="77777777" w:rsidR="008427C1" w:rsidRDefault="009E0D8F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7168CA71" w14:textId="77777777" w:rsidR="008427C1" w:rsidRDefault="009E0D8F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smlouvu o nájmu prostor sloužících k podnikání: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(dále jen „nájemní smlouva“)</w:t>
      </w:r>
    </w:p>
    <w:p w14:paraId="5C2B38FA" w14:textId="77777777" w:rsidR="008427C1" w:rsidRDefault="008427C1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135A644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Úvodní ustanovení</w:t>
      </w:r>
    </w:p>
    <w:p w14:paraId="02383135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  <w:highlight w:val="darkGray"/>
        </w:rPr>
      </w:pPr>
      <w:bookmarkStart w:id="1" w:name="30j0zll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Pronajímatel je příslušný hospodařit s nemovitostí ve vlastnictví státu:</w:t>
      </w:r>
    </w:p>
    <w:p w14:paraId="40C48211" w14:textId="77777777" w:rsidR="008427C1" w:rsidRDefault="00760DF9" w:rsidP="00760DF9">
      <w:pPr>
        <w:spacing w:after="60"/>
        <w:ind w:left="425" w:firstLine="1"/>
        <w:jc w:val="both"/>
        <w:rPr>
          <w:rFonts w:ascii="Calibri" w:eastAsia="Calibri" w:hAnsi="Calibri" w:cs="Calibri"/>
          <w:color w:val="000000"/>
          <w:sz w:val="22"/>
          <w:szCs w:val="22"/>
          <w:highlight w:val="darkGray"/>
        </w:rPr>
      </w:pPr>
      <w:r w:rsidRPr="00760DF9">
        <w:rPr>
          <w:rFonts w:ascii="Calibri" w:eastAsia="Calibri" w:hAnsi="Calibri" w:cs="Calibri"/>
          <w:color w:val="000000"/>
          <w:sz w:val="22"/>
          <w:szCs w:val="22"/>
        </w:rPr>
        <w:t xml:space="preserve">zámek Hořovice, Vrbnovská 22/2, </w:t>
      </w:r>
      <w:r>
        <w:rPr>
          <w:rFonts w:ascii="Calibri" w:eastAsia="Calibri" w:hAnsi="Calibri" w:cs="Calibri"/>
          <w:color w:val="000000"/>
          <w:sz w:val="22"/>
          <w:szCs w:val="22"/>
        </w:rPr>
        <w:t>268 01</w:t>
      </w:r>
      <w:r w:rsidRPr="00760DF9">
        <w:rPr>
          <w:rFonts w:ascii="Calibri" w:eastAsia="Calibri" w:hAnsi="Calibri" w:cs="Calibri"/>
          <w:color w:val="000000"/>
          <w:sz w:val="22"/>
          <w:szCs w:val="22"/>
        </w:rPr>
        <w:t xml:space="preserve">Hořovice, katastrální území Velká Víska. Předmětem nájmu jsou </w:t>
      </w:r>
      <w:r>
        <w:rPr>
          <w:rFonts w:ascii="Calibri" w:eastAsia="Calibri" w:hAnsi="Calibri" w:cs="Calibri"/>
          <w:color w:val="000000"/>
          <w:sz w:val="22"/>
          <w:szCs w:val="22"/>
        </w:rPr>
        <w:t>tři</w:t>
      </w:r>
      <w:r w:rsidRPr="00760DF9">
        <w:rPr>
          <w:rFonts w:ascii="Calibri" w:eastAsia="Calibri" w:hAnsi="Calibri" w:cs="Calibri"/>
          <w:color w:val="000000"/>
          <w:sz w:val="22"/>
          <w:szCs w:val="22"/>
        </w:rPr>
        <w:t xml:space="preserve"> místnosti v přízemí hlavní zámecké budovy v pravé části o celkové rozloze podlahové plochy </w:t>
      </w:r>
      <w:r w:rsidR="0043299F" w:rsidRPr="0043299F">
        <w:rPr>
          <w:rFonts w:ascii="Calibri" w:eastAsia="Calibri" w:hAnsi="Calibri" w:cs="Calibri"/>
          <w:b/>
          <w:color w:val="000000"/>
          <w:sz w:val="22"/>
          <w:szCs w:val="22"/>
        </w:rPr>
        <w:t>99,8</w:t>
      </w:r>
      <w:r w:rsidRPr="0043299F">
        <w:rPr>
          <w:rFonts w:ascii="Calibri" w:eastAsia="Calibri" w:hAnsi="Calibri" w:cs="Calibri"/>
          <w:b/>
          <w:color w:val="000000"/>
          <w:sz w:val="22"/>
          <w:szCs w:val="22"/>
        </w:rPr>
        <w:t xml:space="preserve"> m</w:t>
      </w:r>
      <w:r w:rsidR="0043299F" w:rsidRPr="0043299F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(složené z kuchyně 23,3 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 xml:space="preserve">2 </w:t>
      </w:r>
      <w:r>
        <w:rPr>
          <w:rFonts w:ascii="Calibri" w:eastAsia="Calibri" w:hAnsi="Calibri" w:cs="Calibri"/>
          <w:color w:val="000000"/>
          <w:sz w:val="22"/>
          <w:szCs w:val="22"/>
        </w:rPr>
        <w:t>+ místnost 29,7 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 xml:space="preserve">2 </w:t>
      </w:r>
      <w:r>
        <w:rPr>
          <w:rFonts w:ascii="Calibri" w:eastAsia="Calibri" w:hAnsi="Calibri" w:cs="Calibri"/>
          <w:color w:val="000000"/>
          <w:sz w:val="22"/>
          <w:szCs w:val="22"/>
        </w:rPr>
        <w:t>+ místnost 46,8 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 w:rsidR="00661298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4329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760DF9">
        <w:rPr>
          <w:rFonts w:ascii="Calibri" w:eastAsia="Calibri" w:hAnsi="Calibri" w:cs="Calibri"/>
          <w:color w:val="000000"/>
          <w:sz w:val="22"/>
          <w:szCs w:val="22"/>
        </w:rPr>
        <w:t xml:space="preserve"> S právem použití bočního vchodu jako přístupu do budovy s možností umístění vlastního venkovního mobiliáře (stolky, židle, slunečníky) v případě odpovídajících klimatických podmínek v hospodářském dvoře zámku. </w:t>
      </w:r>
      <w:r w:rsidR="009E0D8F">
        <w:rPr>
          <w:rFonts w:ascii="Calibri" w:eastAsia="Calibri" w:hAnsi="Calibri" w:cs="Calibri"/>
          <w:color w:val="000000"/>
          <w:sz w:val="22"/>
          <w:szCs w:val="22"/>
        </w:rPr>
        <w:t>(dále jen „předmět nájmu“).</w:t>
      </w:r>
    </w:p>
    <w:p w14:paraId="4DBE93E9" w14:textId="77777777" w:rsidR="008427C1" w:rsidRPr="00627040" w:rsidRDefault="009E0D8F" w:rsidP="00627040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27040">
        <w:rPr>
          <w:rFonts w:ascii="Calibri" w:eastAsia="Calibri" w:hAnsi="Calibri" w:cs="Calibri"/>
          <w:color w:val="000000"/>
          <w:sz w:val="22"/>
          <w:szCs w:val="22"/>
        </w:rPr>
        <w:t xml:space="preserve">Pronajímatel konstatuje, že pronájmem předmětu nájmu bude dosaženo účelnějšího nebo hospodárnějšího využití věci při zachování hlavního účelu, ke kterému pronajímateli slouží. Smluvní strany se dohodly, v souladu s příslušnými ustanoveními obecně závazných právních předpisů, a to zejména zákona č. 89/2012 Sb., občanský zákoník, ve znění pozdějších předpisů a zákona č. 219/2000 Sb., o majetku České republiky a jejím vystupování v právních vztazích, ve znění pozdějších předpisů, na této smlouvě o nájmu prostor sloužících k podnikání. </w:t>
      </w:r>
    </w:p>
    <w:p w14:paraId="233D390C" w14:textId="77777777" w:rsidR="008427C1" w:rsidRDefault="008427C1">
      <w:pP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7EC24E4F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nájmu</w:t>
      </w:r>
    </w:p>
    <w:p w14:paraId="7F431B71" w14:textId="77777777" w:rsidR="008427C1" w:rsidRDefault="009E0D8F">
      <w:pPr>
        <w:numPr>
          <w:ilvl w:val="0"/>
          <w:numId w:val="10"/>
        </w:numP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přenechává nájemci v souladu s touto smlouvou a obecně závaznými právními předpisy k dočasnému užívání předmět nájmu a nájemce předmět nájmu v souladu s touto smlouvou a obecně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závaznými právními předpisy podle této smlouvy přijímá do užívání a zavazuje se za to pronajímateli platit nájemné. </w:t>
      </w:r>
    </w:p>
    <w:p w14:paraId="4C80A9DF" w14:textId="77777777" w:rsidR="008427C1" w:rsidRDefault="009E0D8F">
      <w:pPr>
        <w:numPr>
          <w:ilvl w:val="0"/>
          <w:numId w:val="10"/>
        </w:numP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01D9C">
        <w:rPr>
          <w:rFonts w:ascii="Calibri" w:eastAsia="Calibri" w:hAnsi="Calibri" w:cs="Calibri"/>
          <w:color w:val="000000"/>
          <w:sz w:val="22"/>
          <w:szCs w:val="22"/>
        </w:rPr>
        <w:t>Spolu s předmětem nájmu poskytuje pronajímatel nájemci na dobu nájmu oprávnění užívat movité věci,</w:t>
      </w:r>
      <w:bookmarkStart w:id="2" w:name="1fob9te"/>
      <w:bookmarkEnd w:id="2"/>
      <w:r w:rsidRPr="00501D9C">
        <w:rPr>
          <w:rFonts w:ascii="Calibri" w:eastAsia="Calibri" w:hAnsi="Calibri" w:cs="Calibri"/>
          <w:color w:val="000000"/>
          <w:sz w:val="22"/>
          <w:szCs w:val="22"/>
        </w:rPr>
        <w:t xml:space="preserve"> které jsou rovněž předmětem nájmu: </w:t>
      </w:r>
      <w:r w:rsidRPr="00501D9C">
        <w:rPr>
          <w:rFonts w:ascii="Calibri" w:eastAsia="Calibri" w:hAnsi="Calibri" w:cs="Calibri"/>
          <w:i/>
          <w:color w:val="000000"/>
          <w:sz w:val="22"/>
          <w:szCs w:val="22"/>
        </w:rPr>
        <w:t>(</w:t>
      </w:r>
      <w:r w:rsidR="000D5E9F" w:rsidRPr="00501D9C">
        <w:rPr>
          <w:rFonts w:ascii="Calibri" w:eastAsia="Calibri" w:hAnsi="Calibri" w:cs="Calibri"/>
          <w:i/>
          <w:color w:val="000000"/>
          <w:sz w:val="22"/>
          <w:szCs w:val="22"/>
        </w:rPr>
        <w:t xml:space="preserve">digestoř, sporák, </w:t>
      </w:r>
      <w:r w:rsidR="00501D9C" w:rsidRPr="00501D9C">
        <w:rPr>
          <w:rFonts w:ascii="Calibri" w:eastAsia="Calibri" w:hAnsi="Calibri" w:cs="Calibri"/>
          <w:i/>
          <w:color w:val="000000"/>
          <w:sz w:val="22"/>
          <w:szCs w:val="22"/>
        </w:rPr>
        <w:t xml:space="preserve">kuchyňské pulty kovové, </w:t>
      </w:r>
      <w:r w:rsidR="000D5E9F" w:rsidRPr="00501D9C">
        <w:rPr>
          <w:rFonts w:ascii="Calibri" w:eastAsia="Calibri" w:hAnsi="Calibri" w:cs="Calibri"/>
          <w:i/>
          <w:color w:val="000000"/>
          <w:sz w:val="22"/>
          <w:szCs w:val="22"/>
        </w:rPr>
        <w:t xml:space="preserve">bojler, barový pult, </w:t>
      </w:r>
      <w:r w:rsidR="00501D9C" w:rsidRPr="00501D9C">
        <w:rPr>
          <w:rFonts w:ascii="Calibri" w:eastAsia="Calibri" w:hAnsi="Calibri" w:cs="Calibri"/>
          <w:i/>
          <w:color w:val="000000"/>
          <w:sz w:val="22"/>
          <w:szCs w:val="22"/>
        </w:rPr>
        <w:t xml:space="preserve">9x </w:t>
      </w:r>
      <w:r w:rsidR="000D5E9F" w:rsidRPr="00501D9C">
        <w:rPr>
          <w:rFonts w:ascii="Calibri" w:eastAsia="Calibri" w:hAnsi="Calibri" w:cs="Calibri"/>
          <w:i/>
          <w:color w:val="000000"/>
          <w:sz w:val="22"/>
          <w:szCs w:val="22"/>
        </w:rPr>
        <w:t>stoly</w:t>
      </w:r>
      <w:r w:rsidR="00501D9C" w:rsidRPr="00501D9C">
        <w:rPr>
          <w:rFonts w:ascii="Calibri" w:eastAsia="Calibri" w:hAnsi="Calibri" w:cs="Calibri"/>
          <w:i/>
          <w:color w:val="000000"/>
          <w:sz w:val="22"/>
          <w:szCs w:val="22"/>
        </w:rPr>
        <w:t xml:space="preserve"> z toho 3x kulaté černé + 6x čtvercové bílé</w:t>
      </w:r>
      <w:r w:rsidR="000D5E9F" w:rsidRPr="00501D9C">
        <w:rPr>
          <w:rFonts w:ascii="Calibri" w:eastAsia="Calibri" w:hAnsi="Calibri" w:cs="Calibri"/>
          <w:i/>
          <w:color w:val="000000"/>
          <w:sz w:val="22"/>
          <w:szCs w:val="22"/>
        </w:rPr>
        <w:t>,</w:t>
      </w:r>
      <w:r w:rsidR="00501D9C" w:rsidRPr="00501D9C">
        <w:rPr>
          <w:rFonts w:ascii="Calibri" w:eastAsia="Calibri" w:hAnsi="Calibri" w:cs="Calibri"/>
          <w:i/>
          <w:color w:val="000000"/>
          <w:sz w:val="22"/>
          <w:szCs w:val="22"/>
        </w:rPr>
        <w:t xml:space="preserve"> 36x</w:t>
      </w:r>
      <w:r w:rsidR="000D5E9F" w:rsidRPr="00501D9C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="00501D9C" w:rsidRPr="00501D9C">
        <w:rPr>
          <w:rFonts w:ascii="Calibri" w:eastAsia="Calibri" w:hAnsi="Calibri" w:cs="Calibri"/>
          <w:i/>
          <w:color w:val="000000"/>
          <w:sz w:val="22"/>
          <w:szCs w:val="22"/>
        </w:rPr>
        <w:t>křesílka</w:t>
      </w:r>
      <w:r w:rsidR="000D5E9F" w:rsidRPr="00501D9C">
        <w:rPr>
          <w:rFonts w:ascii="Calibri" w:eastAsia="Calibri" w:hAnsi="Calibri" w:cs="Calibri"/>
          <w:i/>
          <w:color w:val="000000"/>
          <w:sz w:val="22"/>
          <w:szCs w:val="22"/>
        </w:rPr>
        <w:t>,</w:t>
      </w:r>
      <w:r w:rsidR="00501D9C" w:rsidRPr="00501D9C">
        <w:rPr>
          <w:rFonts w:ascii="Calibri" w:eastAsia="Calibri" w:hAnsi="Calibri" w:cs="Calibri"/>
          <w:i/>
          <w:color w:val="000000"/>
          <w:sz w:val="22"/>
          <w:szCs w:val="22"/>
        </w:rPr>
        <w:t xml:space="preserve"> 3x</w:t>
      </w:r>
      <w:r w:rsidR="000D5E9F" w:rsidRPr="00501D9C">
        <w:rPr>
          <w:rFonts w:ascii="Calibri" w:eastAsia="Calibri" w:hAnsi="Calibri" w:cs="Calibri"/>
          <w:i/>
          <w:color w:val="000000"/>
          <w:sz w:val="22"/>
          <w:szCs w:val="22"/>
        </w:rPr>
        <w:t xml:space="preserve"> elektrická topidla</w:t>
      </w:r>
      <w:r w:rsidR="00501D9C" w:rsidRPr="00501D9C">
        <w:rPr>
          <w:rFonts w:ascii="Calibri" w:eastAsia="Calibri" w:hAnsi="Calibri" w:cs="Calibri"/>
          <w:i/>
          <w:color w:val="000000"/>
          <w:sz w:val="22"/>
          <w:szCs w:val="22"/>
        </w:rPr>
        <w:t>, 3x lustr, 2x osvětlovací rampa).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„mobiliář“)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p w14:paraId="7F01B888" w14:textId="2AA6EAE8" w:rsidR="008427C1" w:rsidRPr="00501D9C" w:rsidRDefault="009E0D8F">
      <w:pPr>
        <w:numPr>
          <w:ilvl w:val="0"/>
          <w:numId w:val="10"/>
        </w:numP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01D9C">
        <w:rPr>
          <w:rFonts w:ascii="Calibri" w:eastAsia="Calibri" w:hAnsi="Calibri" w:cs="Calibri"/>
          <w:color w:val="000000"/>
          <w:sz w:val="22"/>
          <w:szCs w:val="22"/>
        </w:rPr>
        <w:t>Mobiliář je nájemce oprávněn užívat vhodným způsobem v souladu s touto smlouvu.</w:t>
      </w:r>
    </w:p>
    <w:p w14:paraId="00114886" w14:textId="77777777" w:rsidR="008427C1" w:rsidRPr="00501D9C" w:rsidRDefault="009E0D8F">
      <w:pPr>
        <w:numPr>
          <w:ilvl w:val="0"/>
          <w:numId w:val="10"/>
        </w:numP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01D9C">
        <w:rPr>
          <w:rFonts w:ascii="Calibri" w:eastAsia="Calibri" w:hAnsi="Calibri" w:cs="Calibri"/>
          <w:color w:val="000000"/>
          <w:sz w:val="22"/>
          <w:szCs w:val="22"/>
        </w:rPr>
        <w:t>O předání a převzetí předmětu nájmu bude sepsán zápis, ve kterém se uvede stav předávaného a přebíraného předmětu nájmu a další rozhodné skutečnosti, včetně údajů pro stanovení výše úhrady za služby.</w:t>
      </w:r>
    </w:p>
    <w:p w14:paraId="3217EDC2" w14:textId="77777777" w:rsidR="008427C1" w:rsidRDefault="008427C1">
      <w:pP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090457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Účel nájmu</w:t>
      </w:r>
    </w:p>
    <w:p w14:paraId="03F8756B" w14:textId="232F26BB" w:rsidR="008427C1" w:rsidRDefault="009E0D8F">
      <w:pPr>
        <w:numPr>
          <w:ilvl w:val="1"/>
          <w:numId w:val="14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 nájmu bude užíván výlučně za účelem provozování podnikatelské činnosti spočívající </w:t>
      </w:r>
      <w:r w:rsidRPr="008C7B82">
        <w:rPr>
          <w:rFonts w:ascii="Calibri" w:eastAsia="Calibri" w:hAnsi="Calibri" w:cs="Calibri"/>
          <w:color w:val="000000"/>
          <w:sz w:val="22"/>
          <w:szCs w:val="22"/>
        </w:rPr>
        <w:t>v</w:t>
      </w:r>
      <w:r w:rsidR="008C7B82" w:rsidRPr="008C7B82">
        <w:rPr>
          <w:rFonts w:ascii="Calibri" w:eastAsia="Calibri" w:hAnsi="Calibri" w:cs="Calibri"/>
          <w:color w:val="000000"/>
          <w:sz w:val="22"/>
          <w:szCs w:val="22"/>
        </w:rPr>
        <w:t xml:space="preserve"> provozu </w:t>
      </w:r>
      <w:r w:rsidR="001F5FA6">
        <w:rPr>
          <w:rFonts w:ascii="Calibri" w:eastAsia="Calibri" w:hAnsi="Calibri" w:cs="Calibri"/>
          <w:color w:val="000000"/>
          <w:sz w:val="22"/>
          <w:szCs w:val="22"/>
        </w:rPr>
        <w:t>občerstvení</w:t>
      </w:r>
      <w:r w:rsidR="007538E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538E8" w:rsidRPr="007538E8">
        <w:rPr>
          <w:rFonts w:ascii="Calibri" w:eastAsia="Calibri" w:hAnsi="Calibri" w:cs="Calibri"/>
          <w:color w:val="000000"/>
          <w:sz w:val="22"/>
          <w:szCs w:val="22"/>
        </w:rPr>
        <w:t>kavárenského typu</w:t>
      </w:r>
      <w:r w:rsidR="008C7B82"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p w14:paraId="6DBD4E5A" w14:textId="77777777" w:rsidR="008427C1" w:rsidRDefault="009E0D8F">
      <w:pPr>
        <w:numPr>
          <w:ilvl w:val="1"/>
          <w:numId w:val="14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nájemce povinen zaplatit smluvní pokutu </w:t>
      </w:r>
      <w:r w:rsidRPr="008C7B82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Pr="008C7B82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1273D3A6" w14:textId="77777777" w:rsidR="008427C1" w:rsidRDefault="009E0D8F">
      <w:pPr>
        <w:numPr>
          <w:ilvl w:val="1"/>
          <w:numId w:val="14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prohlašuje, že je mu stav předmětu nájmu znám a v takovémto stavu jej k dočasnému užívání přijímá.</w:t>
      </w:r>
    </w:p>
    <w:p w14:paraId="008B5203" w14:textId="77777777" w:rsidR="008427C1" w:rsidRDefault="009E0D8F">
      <w:pPr>
        <w:numPr>
          <w:ilvl w:val="1"/>
          <w:numId w:val="14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prohlašuje, že je oprávněn provozovat podnikatelskou činnost dle tohoto článku.</w:t>
      </w:r>
    </w:p>
    <w:p w14:paraId="7BD5F43C" w14:textId="77777777" w:rsidR="008427C1" w:rsidRDefault="008427C1">
      <w:pP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A079603" w14:textId="77777777" w:rsidR="008427C1" w:rsidRDefault="008427C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2CBFA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Cena nájmu, jeho splatnost a způsob úhrady </w:t>
      </w:r>
    </w:p>
    <w:p w14:paraId="1C281C53" w14:textId="30755F36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 nájmu je stanovena </w:t>
      </w:r>
      <w:r w:rsidR="003C3CE5">
        <w:rPr>
          <w:rFonts w:ascii="Calibri" w:eastAsia="Calibri" w:hAnsi="Calibri" w:cs="Calibri"/>
          <w:color w:val="000000"/>
          <w:sz w:val="22"/>
          <w:szCs w:val="22"/>
        </w:rPr>
        <w:t xml:space="preserve">na základě </w:t>
      </w:r>
      <w:r w:rsidR="00BC12EF">
        <w:rPr>
          <w:rFonts w:ascii="Calibri" w:eastAsia="Calibri" w:hAnsi="Calibri" w:cs="Calibri"/>
          <w:color w:val="000000"/>
          <w:sz w:val="22"/>
          <w:szCs w:val="22"/>
        </w:rPr>
        <w:t>veřejné soutěže o nejvhodnější nabídku a je</w:t>
      </w:r>
      <w:r w:rsidR="003C3CE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minimálně ve výši v místě a v čase obvykl</w:t>
      </w:r>
      <w:r w:rsidR="003C3CE5">
        <w:rPr>
          <w:rFonts w:ascii="Calibri" w:eastAsia="Calibri" w:hAnsi="Calibri" w:cs="Calibri"/>
          <w:color w:val="000000"/>
          <w:sz w:val="22"/>
          <w:szCs w:val="22"/>
        </w:rPr>
        <w:t xml:space="preserve">é. Cena nájmu se liší v období </w:t>
      </w:r>
      <w:r w:rsidR="003C3CE5" w:rsidRPr="00166E37">
        <w:rPr>
          <w:rFonts w:ascii="Calibri" w:eastAsia="Calibri" w:hAnsi="Calibri" w:cs="Calibri"/>
          <w:b/>
          <w:color w:val="000000"/>
          <w:sz w:val="22"/>
          <w:szCs w:val="22"/>
        </w:rPr>
        <w:t>hlavní návštěvnické sezóny</w:t>
      </w:r>
      <w:r w:rsidR="003C3CE5">
        <w:rPr>
          <w:rFonts w:ascii="Calibri" w:eastAsia="Calibri" w:hAnsi="Calibri" w:cs="Calibri"/>
          <w:color w:val="000000"/>
          <w:sz w:val="22"/>
          <w:szCs w:val="22"/>
        </w:rPr>
        <w:t xml:space="preserve"> (červenec, srpen)</w:t>
      </w:r>
      <w:r w:rsidR="00803C0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66E37">
        <w:rPr>
          <w:rFonts w:ascii="Calibri" w:eastAsia="Calibri" w:hAnsi="Calibri" w:cs="Calibri"/>
          <w:color w:val="000000"/>
          <w:sz w:val="22"/>
          <w:szCs w:val="22"/>
        </w:rPr>
        <w:t>účtováno měsíčním paušálem</w:t>
      </w:r>
      <w:r w:rsidR="003C3CE5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3C3CE5" w:rsidRPr="00166E37">
        <w:rPr>
          <w:rFonts w:ascii="Calibri" w:eastAsia="Calibri" w:hAnsi="Calibri" w:cs="Calibri"/>
          <w:b/>
          <w:color w:val="000000"/>
          <w:sz w:val="22"/>
          <w:szCs w:val="22"/>
        </w:rPr>
        <w:t>vedlejší sezóny</w:t>
      </w:r>
      <w:r w:rsidR="003C3CE5">
        <w:rPr>
          <w:rFonts w:ascii="Calibri" w:eastAsia="Calibri" w:hAnsi="Calibri" w:cs="Calibri"/>
          <w:color w:val="000000"/>
          <w:sz w:val="22"/>
          <w:szCs w:val="22"/>
        </w:rPr>
        <w:t xml:space="preserve"> (duben, květen, červen, září </w:t>
      </w:r>
      <w:r w:rsidR="00804E6C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="003C3CE5">
        <w:rPr>
          <w:rFonts w:ascii="Calibri" w:eastAsia="Calibri" w:hAnsi="Calibri" w:cs="Calibri"/>
          <w:color w:val="000000"/>
          <w:sz w:val="22"/>
          <w:szCs w:val="22"/>
        </w:rPr>
        <w:t>říjen)</w:t>
      </w:r>
      <w:r w:rsidR="00166E37">
        <w:rPr>
          <w:rFonts w:ascii="Calibri" w:eastAsia="Calibri" w:hAnsi="Calibri" w:cs="Calibri"/>
          <w:color w:val="000000"/>
          <w:sz w:val="22"/>
          <w:szCs w:val="22"/>
        </w:rPr>
        <w:t xml:space="preserve"> účtováno podle počtu dnů provozu</w:t>
      </w:r>
      <w:r w:rsidR="003C3CE5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r w:rsidR="003C3CE5" w:rsidRPr="00166E37">
        <w:rPr>
          <w:rFonts w:ascii="Calibri" w:eastAsia="Calibri" w:hAnsi="Calibri" w:cs="Calibri"/>
          <w:b/>
          <w:color w:val="000000"/>
          <w:sz w:val="22"/>
          <w:szCs w:val="22"/>
        </w:rPr>
        <w:t>mimo návštěvnickou sezónu</w:t>
      </w:r>
      <w:r w:rsidR="003C3CE5">
        <w:rPr>
          <w:rFonts w:ascii="Calibri" w:eastAsia="Calibri" w:hAnsi="Calibri" w:cs="Calibri"/>
          <w:color w:val="000000"/>
          <w:sz w:val="22"/>
          <w:szCs w:val="22"/>
        </w:rPr>
        <w:t xml:space="preserve"> (listopad – březen)</w:t>
      </w:r>
      <w:r w:rsidR="00166E37">
        <w:rPr>
          <w:rFonts w:ascii="Calibri" w:eastAsia="Calibri" w:hAnsi="Calibri" w:cs="Calibri"/>
          <w:color w:val="000000"/>
          <w:sz w:val="22"/>
          <w:szCs w:val="22"/>
        </w:rPr>
        <w:t xml:space="preserve"> v případě uzavření provozovny účtovány náklady na uskladnění majetku pronajímatele paušální měsíční částkou</w:t>
      </w:r>
      <w:r w:rsidR="003C3CE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9D36236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Cena nájmu je složena takto:</w:t>
      </w:r>
    </w:p>
    <w:p w14:paraId="4D6B8516" w14:textId="621F5F7A" w:rsidR="008427C1" w:rsidRPr="000D5E9F" w:rsidRDefault="009E0D8F" w:rsidP="00F26191">
      <w:pPr>
        <w:widowControl w:val="0"/>
        <w:spacing w:after="60"/>
        <w:ind w:left="56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Nájemné </w:t>
      </w:r>
      <w:r w:rsidRPr="008C7B82">
        <w:rPr>
          <w:rFonts w:ascii="Calibri" w:eastAsia="Calibri" w:hAnsi="Calibri" w:cs="Calibri"/>
          <w:color w:val="000000"/>
          <w:sz w:val="22"/>
          <w:szCs w:val="22"/>
        </w:rPr>
        <w:t>za jeden kalendářní měsíc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nájmu </w:t>
      </w:r>
      <w:r w:rsidR="00166E37" w:rsidRPr="00166E37">
        <w:rPr>
          <w:rFonts w:ascii="Calibri" w:eastAsia="Calibri" w:hAnsi="Calibri" w:cs="Calibri"/>
          <w:b/>
          <w:color w:val="000000"/>
          <w:sz w:val="22"/>
          <w:szCs w:val="22"/>
        </w:rPr>
        <w:t>hlavní sezóny</w:t>
      </w:r>
      <w:r w:rsidR="00166E3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činí</w:t>
      </w:r>
      <w:r w:rsidR="000D5E9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66E37" w:rsidRPr="00166E37">
        <w:rPr>
          <w:rFonts w:ascii="Calibri" w:eastAsia="Calibri" w:hAnsi="Calibri" w:cs="Calibri"/>
          <w:color w:val="000000"/>
          <w:sz w:val="22"/>
          <w:szCs w:val="22"/>
          <w:highlight w:val="yellow"/>
        </w:rPr>
        <w:t>XXXXX</w:t>
      </w:r>
      <w:r w:rsidR="000D5E9F" w:rsidRPr="00166E37"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r w:rsidRPr="0036313A"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Kč </w:t>
      </w:r>
      <w:r w:rsidR="00BC12EF" w:rsidRPr="0036313A">
        <w:rPr>
          <w:rFonts w:ascii="Calibri" w:eastAsia="Calibri" w:hAnsi="Calibri" w:cs="Calibri"/>
          <w:color w:val="000000"/>
          <w:sz w:val="22"/>
          <w:szCs w:val="22"/>
          <w:highlight w:val="yellow"/>
        </w:rPr>
        <w:t>měsíčně</w:t>
      </w:r>
      <w:r w:rsidR="00166E37">
        <w:rPr>
          <w:rFonts w:ascii="Calibri" w:eastAsia="Calibri" w:hAnsi="Calibri" w:cs="Calibri"/>
          <w:color w:val="000000"/>
          <w:sz w:val="22"/>
          <w:szCs w:val="22"/>
        </w:rPr>
        <w:t xml:space="preserve">, a </w:t>
      </w:r>
      <w:r w:rsidR="00166E37" w:rsidRPr="00166E37">
        <w:rPr>
          <w:rFonts w:ascii="Calibri" w:eastAsia="Calibri" w:hAnsi="Calibri" w:cs="Calibri"/>
          <w:b/>
          <w:color w:val="000000"/>
          <w:sz w:val="22"/>
          <w:szCs w:val="22"/>
        </w:rPr>
        <w:t>mimo sezónu</w:t>
      </w:r>
      <w:r w:rsidR="00166E37">
        <w:rPr>
          <w:rFonts w:ascii="Calibri" w:eastAsia="Calibri" w:hAnsi="Calibri" w:cs="Calibri"/>
          <w:color w:val="000000"/>
          <w:sz w:val="22"/>
          <w:szCs w:val="22"/>
        </w:rPr>
        <w:t xml:space="preserve"> v případě uzavření provozovny činí </w:t>
      </w:r>
      <w:r w:rsidR="00166E37" w:rsidRPr="00166E37">
        <w:rPr>
          <w:rFonts w:ascii="Calibri" w:eastAsia="Calibri" w:hAnsi="Calibri" w:cs="Calibri"/>
          <w:color w:val="000000"/>
          <w:sz w:val="22"/>
          <w:szCs w:val="22"/>
          <w:highlight w:val="yellow"/>
        </w:rPr>
        <w:t>XXXXXX Kč</w:t>
      </w:r>
      <w:r w:rsidR="00BC12EF"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měsíčně</w:t>
      </w:r>
      <w:r w:rsidR="00166E37">
        <w:rPr>
          <w:rFonts w:ascii="Calibri" w:eastAsia="Calibri" w:hAnsi="Calibri" w:cs="Calibri"/>
          <w:color w:val="000000"/>
          <w:sz w:val="22"/>
          <w:szCs w:val="22"/>
        </w:rPr>
        <w:t xml:space="preserve">. Všechny ceny jsou uvedeny bez DPH </w:t>
      </w:r>
      <w:r w:rsidRPr="008C7B82">
        <w:rPr>
          <w:rFonts w:ascii="Calibri" w:eastAsia="Calibri" w:hAnsi="Calibri" w:cs="Calibri"/>
          <w:color w:val="000000"/>
          <w:sz w:val="22"/>
          <w:szCs w:val="22"/>
        </w:rPr>
        <w:t>(nájem nad 48h</w:t>
      </w:r>
      <w:r w:rsidR="000D5E9F">
        <w:rPr>
          <w:rFonts w:ascii="Calibri" w:eastAsia="Calibri" w:hAnsi="Calibri" w:cs="Calibri"/>
          <w:color w:val="000000"/>
          <w:sz w:val="22"/>
          <w:szCs w:val="22"/>
        </w:rPr>
        <w:t>odin</w:t>
      </w:r>
      <w:r w:rsidRPr="008C7B82">
        <w:rPr>
          <w:rFonts w:ascii="Calibri" w:eastAsia="Calibri" w:hAnsi="Calibri" w:cs="Calibri"/>
          <w:color w:val="000000"/>
          <w:sz w:val="22"/>
          <w:szCs w:val="22"/>
        </w:rPr>
        <w:t xml:space="preserve"> je osvobozen)</w:t>
      </w:r>
      <w:r w:rsidR="00166E37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F26191">
        <w:rPr>
          <w:rFonts w:ascii="Calibri" w:eastAsia="Calibri" w:hAnsi="Calibri" w:cs="Calibri"/>
          <w:color w:val="000000"/>
          <w:sz w:val="22"/>
          <w:szCs w:val="22"/>
        </w:rPr>
        <w:t xml:space="preserve"> Pokud jde o vedlejší sezónu bude nájem účtován dle počtu dnů provozu z měsíčního nájmu v hlavní sezóně (denní nájem se vypočte z měsíčního nájmu za hlavní sezónu děleno 30).</w:t>
      </w:r>
    </w:p>
    <w:p w14:paraId="30DD842B" w14:textId="77777777" w:rsidR="008427C1" w:rsidRDefault="009E0D8F" w:rsidP="000D5E9F">
      <w:pPr>
        <w:pStyle w:val="Odstavecseseznamem"/>
        <w:widowControl w:val="0"/>
        <w:spacing w:after="60"/>
        <w:ind w:left="426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 nemovité věci trvající nepřetržitě více než 48 hodin je plnění osvobozené od DPH podle § 56a zákona č. 235/2004 Sb., o dani z přidané hodnoty, ve znění pozdějších předpisů, to neplatí pro pronájem prostor a míst k parkování vozidel.</w:t>
      </w:r>
    </w:p>
    <w:p w14:paraId="3D244408" w14:textId="77777777" w:rsidR="008427C1" w:rsidRDefault="009E0D8F">
      <w:pPr>
        <w:widowControl w:val="0"/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 w:rsidRPr="00501D9C">
        <w:rPr>
          <w:rFonts w:ascii="Calibri" w:eastAsia="Calibri" w:hAnsi="Calibri" w:cs="Calibri"/>
          <w:color w:val="000000"/>
          <w:sz w:val="22"/>
          <w:szCs w:val="22"/>
        </w:rPr>
        <w:t xml:space="preserve">Nájemné je splatné na základě daňového dokladu-faktury vystavené pronajímatelem vždy k prvnímu dni příslušného měsíce se splatností 21 dnů ode dne vystavení. </w:t>
      </w:r>
      <w:r>
        <w:rPr>
          <w:rFonts w:ascii="Calibri" w:eastAsia="Calibri" w:hAnsi="Calibri" w:cs="Calibri"/>
          <w:color w:val="000000"/>
          <w:sz w:val="22"/>
          <w:szCs w:val="22"/>
        </w:rPr>
        <w:t>Faktura může být vyhotovena v elektronické podobě a zaslána elektronicky.</w:t>
      </w:r>
    </w:p>
    <w:p w14:paraId="3352BBA7" w14:textId="77777777" w:rsidR="008427C1" w:rsidRDefault="009E0D8F">
      <w:pPr>
        <w:widowControl w:val="0"/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 w:rsidRPr="00501D9C">
        <w:rPr>
          <w:rFonts w:ascii="Calibri" w:eastAsia="Calibri" w:hAnsi="Calibri" w:cs="Calibri"/>
          <w:color w:val="000000"/>
          <w:sz w:val="22"/>
          <w:szCs w:val="22"/>
        </w:rPr>
        <w:t xml:space="preserve">Pronajímatel je dle svého uvážení a aktuální situace na trhu oprávněn nájemné počínaje rokem </w:t>
      </w:r>
      <w:r w:rsidR="00501D9C" w:rsidRPr="00501D9C">
        <w:rPr>
          <w:rFonts w:ascii="Calibri" w:eastAsia="Calibri" w:hAnsi="Calibri" w:cs="Calibri"/>
          <w:color w:val="000000"/>
          <w:sz w:val="22"/>
          <w:szCs w:val="22"/>
        </w:rPr>
        <w:t>2026</w:t>
      </w:r>
      <w:r w:rsidRPr="00501D9C">
        <w:rPr>
          <w:rFonts w:ascii="Calibri" w:eastAsia="Calibri" w:hAnsi="Calibri" w:cs="Calibri"/>
          <w:color w:val="000000"/>
          <w:sz w:val="22"/>
          <w:szCs w:val="22"/>
        </w:rPr>
        <w:t xml:space="preserve"> valorizovat vždy k 1. 1. každého roku Harmonizovaným indexem spotřebitelských cen (HICP) vyhlášeným Českým statistickým úřadem (či obdobným úřadem oprávněným k vyhlašování zmíněného indexu) za uplynulý kalendářní rok. Toto zvýšení nájemného je pronajímatel povinen nájemci písemně oznámit do 31. března příslušného roku. Nepřesáhne-li na základě této inflační doložky roční zvýšení nájemného částku 200,- Kč, zvýšení nájemného se neuplatní. Nezaplacené nájemné z důvodu zvýšení nájemného za příslušné měsíce je splatné spolu s nejbližším nájemným následujícím po doručení písemného oznámení pronajímatele v každém takovém roce. V případě záporné inflace se výše nájemné pro daný rok neupravuje. Výsledná výše nájemného se vždy zaokrouhlí na desetikoruny směrem nahoru</w:t>
      </w:r>
      <w:r w:rsidRPr="00501D9C"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Zvýšení nájemného pronajímatel nájemci oznámí bez nutnosti uzavírat dodatek k této smlouvě, strany spolu mohou uzavřít dodatek s deklaratorními účinky.</w:t>
      </w:r>
    </w:p>
    <w:p w14:paraId="07F5B9DB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Pr="00501D9C">
        <w:rPr>
          <w:rFonts w:ascii="Calibri" w:eastAsia="Calibri" w:hAnsi="Calibri" w:cs="Calibri"/>
          <w:color w:val="000000"/>
          <w:sz w:val="22"/>
          <w:szCs w:val="22"/>
        </w:rPr>
        <w:t>0,25 % z dlužné částky včetně DPH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započatý den prodlení. </w:t>
      </w:r>
    </w:p>
    <w:p w14:paraId="78E7C545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ukončení nájmu je nájemce povinen hradit nájemné až do okamžiku vyklizení a předání předmětu nájmu pronajímateli.</w:t>
      </w:r>
    </w:p>
    <w:p w14:paraId="6E87E98A" w14:textId="77777777" w:rsidR="008427C1" w:rsidRDefault="008427C1">
      <w:pP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F174E8A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Služby související s nájemním vztahem, jejich cena a splatnost </w:t>
      </w:r>
    </w:p>
    <w:p w14:paraId="6C2CE443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souvislosti s nájmem poskytuje pronajímatel nájemci tyto služby:</w:t>
      </w:r>
    </w:p>
    <w:p w14:paraId="113DE058" w14:textId="77777777" w:rsidR="008427C1" w:rsidRDefault="009E0D8F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el. energie,</w:t>
      </w:r>
    </w:p>
    <w:p w14:paraId="0DD44924" w14:textId="77777777" w:rsidR="008427C1" w:rsidRDefault="009E0D8F" w:rsidP="00501D9C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vod</w:t>
      </w:r>
      <w:r w:rsidR="009F0B22">
        <w:rPr>
          <w:rFonts w:ascii="Calibri" w:eastAsia="Calibri" w:hAnsi="Calibri" w:cs="Calibri"/>
          <w:color w:val="000000"/>
          <w:sz w:val="22"/>
          <w:szCs w:val="22"/>
        </w:rPr>
        <w:t>né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/stočné </w:t>
      </w:r>
    </w:p>
    <w:p w14:paraId="2406B442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3znysh7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Způsob vyúčtování těchto služeb:</w:t>
      </w:r>
    </w:p>
    <w:p w14:paraId="303E1B13" w14:textId="77777777" w:rsidR="008427C1" w:rsidRDefault="009E0D8F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el. </w:t>
      </w:r>
      <w:r w:rsidR="004B38E9">
        <w:rPr>
          <w:rFonts w:ascii="Calibri" w:eastAsia="Calibri" w:hAnsi="Calibri" w:cs="Calibri"/>
          <w:color w:val="000000"/>
          <w:sz w:val="22"/>
          <w:szCs w:val="22"/>
        </w:rPr>
        <w:t>energie – přeúčtování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skutečnosti dle </w:t>
      </w:r>
      <w:r w:rsidR="00036ADD">
        <w:rPr>
          <w:rFonts w:ascii="Calibri" w:eastAsia="Calibri" w:hAnsi="Calibri" w:cs="Calibri"/>
          <w:color w:val="000000"/>
          <w:sz w:val="22"/>
          <w:szCs w:val="22"/>
        </w:rPr>
        <w:t xml:space="preserve">podružného </w:t>
      </w:r>
      <w:r>
        <w:rPr>
          <w:rFonts w:ascii="Calibri" w:eastAsia="Calibri" w:hAnsi="Calibri" w:cs="Calibri"/>
          <w:color w:val="000000"/>
          <w:sz w:val="22"/>
          <w:szCs w:val="22"/>
        </w:rPr>
        <w:t>elektroměru</w:t>
      </w:r>
    </w:p>
    <w:p w14:paraId="59A16C3C" w14:textId="77777777" w:rsidR="008427C1" w:rsidRDefault="004B38E9" w:rsidP="00501D9C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vod</w:t>
      </w:r>
      <w:r w:rsidR="009E0D8F">
        <w:rPr>
          <w:rFonts w:ascii="Calibri" w:eastAsia="Calibri" w:hAnsi="Calibri" w:cs="Calibri"/>
          <w:color w:val="000000"/>
          <w:sz w:val="22"/>
          <w:szCs w:val="22"/>
        </w:rPr>
        <w:t>né/stočné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přeúčtování</w:t>
      </w:r>
      <w:r w:rsidR="009E0D8F">
        <w:rPr>
          <w:rFonts w:ascii="Calibri" w:eastAsia="Calibri" w:hAnsi="Calibri" w:cs="Calibri"/>
          <w:color w:val="000000"/>
          <w:sz w:val="22"/>
          <w:szCs w:val="22"/>
        </w:rPr>
        <w:t xml:space="preserve"> skutečnosti dle </w:t>
      </w:r>
      <w:r w:rsidR="00036ADD">
        <w:rPr>
          <w:rFonts w:ascii="Calibri" w:eastAsia="Calibri" w:hAnsi="Calibri" w:cs="Calibri"/>
          <w:color w:val="000000"/>
          <w:sz w:val="22"/>
          <w:szCs w:val="22"/>
        </w:rPr>
        <w:t xml:space="preserve">podružného </w:t>
      </w:r>
      <w:r w:rsidR="009E0D8F">
        <w:rPr>
          <w:rFonts w:ascii="Calibri" w:eastAsia="Calibri" w:hAnsi="Calibri" w:cs="Calibri"/>
          <w:color w:val="000000"/>
          <w:sz w:val="22"/>
          <w:szCs w:val="22"/>
        </w:rPr>
        <w:t>vodoměru</w:t>
      </w:r>
    </w:p>
    <w:p w14:paraId="20C22CD0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2et92p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Cena služeb</w:t>
      </w:r>
      <w:r w:rsidR="00F55286"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43DFA6F" w14:textId="77777777" w:rsidR="008427C1" w:rsidRDefault="009E0D8F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el. </w:t>
      </w:r>
      <w:r w:rsidR="004B38E9">
        <w:rPr>
          <w:rFonts w:ascii="Calibri" w:eastAsia="Calibri" w:hAnsi="Calibri" w:cs="Calibri"/>
          <w:color w:val="000000"/>
          <w:sz w:val="22"/>
          <w:szCs w:val="22"/>
        </w:rPr>
        <w:t xml:space="preserve">energie – </w:t>
      </w:r>
      <w:r w:rsidR="00F55286" w:rsidRPr="00F55286">
        <w:rPr>
          <w:rFonts w:ascii="Calibri" w:eastAsia="Calibri" w:hAnsi="Calibri" w:cs="Calibri"/>
          <w:color w:val="000000"/>
          <w:sz w:val="22"/>
          <w:szCs w:val="22"/>
        </w:rPr>
        <w:t>dle aktuálního ceníku dodavatele</w:t>
      </w:r>
      <w:r w:rsidR="00F55286">
        <w:rPr>
          <w:rFonts w:ascii="Calibri" w:eastAsia="Calibri" w:hAnsi="Calibri" w:cs="Calibri"/>
          <w:color w:val="000000"/>
          <w:sz w:val="22"/>
          <w:szCs w:val="22"/>
        </w:rPr>
        <w:t xml:space="preserve"> DPH 21%</w:t>
      </w:r>
    </w:p>
    <w:p w14:paraId="68BD4A1D" w14:textId="77777777" w:rsidR="008427C1" w:rsidRPr="009E0D8F" w:rsidRDefault="004B38E9" w:rsidP="00F55286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vod</w:t>
      </w:r>
      <w:r w:rsidR="009E0D8F">
        <w:rPr>
          <w:rFonts w:ascii="Calibri" w:eastAsia="Calibri" w:hAnsi="Calibri" w:cs="Calibri"/>
          <w:color w:val="000000"/>
          <w:sz w:val="22"/>
          <w:szCs w:val="22"/>
        </w:rPr>
        <w:t>né/stočné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r w:rsidR="00F55286" w:rsidRPr="00F55286">
        <w:rPr>
          <w:rFonts w:ascii="Calibri" w:eastAsia="Calibri" w:hAnsi="Calibri" w:cs="Calibri"/>
          <w:color w:val="000000"/>
          <w:sz w:val="22"/>
          <w:szCs w:val="22"/>
        </w:rPr>
        <w:t>dle aktuálního ceníku dodavatele</w:t>
      </w:r>
      <w:r w:rsidR="00F55286">
        <w:rPr>
          <w:rFonts w:ascii="Calibri" w:eastAsia="Calibri" w:hAnsi="Calibri" w:cs="Calibri"/>
          <w:color w:val="000000"/>
          <w:sz w:val="22"/>
          <w:szCs w:val="22"/>
        </w:rPr>
        <w:t xml:space="preserve"> DPH 12%</w:t>
      </w:r>
    </w:p>
    <w:p w14:paraId="40D139EA" w14:textId="77777777" w:rsidR="008427C1" w:rsidRDefault="008427C1">
      <w:pPr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tyjcwt"/>
      <w:bookmarkEnd w:id="5"/>
    </w:p>
    <w:p w14:paraId="35A797C1" w14:textId="77777777" w:rsidR="008427C1" w:rsidRDefault="009E0D8F" w:rsidP="00F55286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Ceny služeb</w:t>
      </w:r>
      <w:r w:rsidR="00F55286">
        <w:rPr>
          <w:rFonts w:ascii="Calibri" w:eastAsia="Calibri" w:hAnsi="Calibri" w:cs="Calibri"/>
          <w:color w:val="000000"/>
          <w:sz w:val="22"/>
          <w:szCs w:val="22"/>
        </w:rPr>
        <w:t xml:space="preserve"> budou účtovány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měsíčně </w:t>
      </w:r>
      <w:bookmarkStart w:id="6" w:name="3dy6vkm"/>
      <w:bookmarkEnd w:id="6"/>
      <w:r w:rsidR="00F55286">
        <w:rPr>
          <w:rFonts w:ascii="Calibri" w:eastAsia="Calibri" w:hAnsi="Calibri" w:cs="Calibri"/>
          <w:color w:val="000000"/>
          <w:sz w:val="22"/>
          <w:szCs w:val="22"/>
        </w:rPr>
        <w:t>dle skutečné spotřeby a stavu podružných měřidel.</w:t>
      </w:r>
    </w:p>
    <w:p w14:paraId="7975A778" w14:textId="77777777" w:rsidR="00F55286" w:rsidRDefault="00F55286" w:rsidP="00F55286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</w:p>
    <w:p w14:paraId="31A69710" w14:textId="4B4492CD" w:rsidR="00BC12EF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Úhrada za služby (případně záloha na tyto služby) je splatná </w:t>
      </w:r>
      <w:r w:rsidR="00FF4128">
        <w:rPr>
          <w:rFonts w:ascii="Calibri" w:eastAsia="Calibri" w:hAnsi="Calibri" w:cs="Calibri"/>
          <w:color w:val="000000"/>
          <w:sz w:val="22"/>
          <w:szCs w:val="22"/>
        </w:rPr>
        <w:t>4x ročně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BC12EF" w:rsidRPr="00BC12EF">
        <w:rPr>
          <w:rFonts w:ascii="Calibri" w:eastAsia="Calibri" w:hAnsi="Calibri" w:cs="Calibri"/>
          <w:color w:val="000000"/>
          <w:sz w:val="22"/>
          <w:szCs w:val="22"/>
        </w:rPr>
        <w:t xml:space="preserve">na základě daňového dokladu-faktury vystavené pronajímatelem se splatností 21 dnů ode dne vystavení. Faktura může být vyhotovena v elektronické podobě a zaslána elektronicky.  </w:t>
      </w:r>
    </w:p>
    <w:p w14:paraId="5EFE0D03" w14:textId="20C092F3" w:rsidR="008427C1" w:rsidRDefault="008427C1" w:rsidP="00BC12EF">
      <w:pPr>
        <w:spacing w:after="60"/>
        <w:ind w:lef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4621E0" w14:textId="77777777" w:rsidR="008427C1" w:rsidRDefault="008427C1">
      <w:pP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8E7CE5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425" w:firstLine="42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Podnájem</w:t>
      </w:r>
    </w:p>
    <w:p w14:paraId="295A33F6" w14:textId="77777777" w:rsidR="008427C1" w:rsidRDefault="009E0D8F">
      <w:pPr>
        <w:numPr>
          <w:ilvl w:val="1"/>
          <w:numId w:val="4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není oprávněn přenechat předmět nájmu ani jeho část do podnájmu další osobě, s výjimkou případu předchozího písemného souhlasu pronajímatele a Ministerstva kultury.</w:t>
      </w:r>
    </w:p>
    <w:p w14:paraId="048824E2" w14:textId="77777777" w:rsidR="008427C1" w:rsidRDefault="009E0D8F">
      <w:pPr>
        <w:numPr>
          <w:ilvl w:val="1"/>
          <w:numId w:val="4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nájemce povinen zaplatit smluvní pokutu </w:t>
      </w:r>
      <w:r w:rsidRPr="000A4B2D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Pr="000A4B2D">
        <w:rPr>
          <w:rFonts w:ascii="Calibri" w:eastAsia="Calibri" w:hAnsi="Calibri" w:cs="Calibri"/>
          <w:b/>
          <w:color w:val="000000"/>
          <w:sz w:val="22"/>
          <w:szCs w:val="22"/>
        </w:rPr>
        <w:t>50 000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 </w:t>
      </w:r>
    </w:p>
    <w:p w14:paraId="75FBB4A3" w14:textId="77777777" w:rsidR="008427C1" w:rsidRDefault="008427C1">
      <w:pP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44DB671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Stavební a jiné úpravy</w:t>
      </w:r>
    </w:p>
    <w:p w14:paraId="445CF62D" w14:textId="6DBB9FD0" w:rsidR="008427C1" w:rsidRDefault="009E0D8F">
      <w:pPr>
        <w:numPr>
          <w:ilvl w:val="1"/>
          <w:numId w:val="8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Veškeré opravy a stavební úpravy prováděné na přání nájemce, které bude nájemce v předmětu nájmu provádět, budou realizovány na jeho náklad. </w:t>
      </w:r>
      <w:r w:rsidR="006B787A">
        <w:rPr>
          <w:rFonts w:ascii="Calibri" w:eastAsia="Calibri" w:hAnsi="Calibri" w:cs="Calibri"/>
          <w:color w:val="000000"/>
          <w:sz w:val="22"/>
          <w:szCs w:val="22"/>
        </w:rPr>
        <w:t xml:space="preserve">Nájemce je povinen veškeré stavební úpravy předmětu pronájmu písemně oznámit pronajímateli a vyžádat si předem jeho písemný souhlas s jejich provedením. Nájemce je dále povinen před započetím stavebních úprav vyžadujících povolení </w:t>
      </w:r>
      <w:r w:rsidR="006B787A" w:rsidRPr="000374A2">
        <w:rPr>
          <w:rFonts w:ascii="Calibri" w:eastAsia="Calibri" w:hAnsi="Calibri" w:cs="Calibri"/>
          <w:color w:val="000000"/>
          <w:sz w:val="22"/>
          <w:szCs w:val="22"/>
        </w:rPr>
        <w:t xml:space="preserve">záměru ve smyslu </w:t>
      </w:r>
      <w:r w:rsidR="006B787A" w:rsidRPr="00034A97">
        <w:rPr>
          <w:rFonts w:ascii="Calibri" w:eastAsia="Calibri" w:hAnsi="Calibri"/>
          <w:sz w:val="22"/>
        </w:rPr>
        <w:t xml:space="preserve">ve smyslu zákona č. </w:t>
      </w:r>
      <w:r w:rsidR="006B787A" w:rsidRPr="000374A2">
        <w:rPr>
          <w:rFonts w:ascii="Calibri" w:hAnsi="Calibri"/>
          <w:sz w:val="22"/>
          <w:szCs w:val="22"/>
        </w:rPr>
        <w:t>283/2021</w:t>
      </w:r>
      <w:r w:rsidR="006B787A" w:rsidRPr="00034A97">
        <w:rPr>
          <w:rFonts w:ascii="Calibri" w:eastAsia="Calibri" w:hAnsi="Calibri"/>
          <w:sz w:val="22"/>
        </w:rPr>
        <w:t xml:space="preserve"> Sb. stavební zákon</w:t>
      </w:r>
      <w:r w:rsidR="006B787A" w:rsidRPr="000374A2">
        <w:rPr>
          <w:rFonts w:ascii="Calibri" w:hAnsi="Calibri"/>
          <w:sz w:val="22"/>
          <w:szCs w:val="22"/>
        </w:rPr>
        <w:t>,</w:t>
      </w:r>
      <w:r w:rsidR="006B787A" w:rsidRPr="00034A97">
        <w:rPr>
          <w:rFonts w:ascii="Calibri" w:eastAsia="Calibri" w:hAnsi="Calibri"/>
          <w:sz w:val="22"/>
        </w:rPr>
        <w:t xml:space="preserve"> </w:t>
      </w:r>
      <w:r w:rsidR="006B787A">
        <w:rPr>
          <w:rFonts w:ascii="Calibri" w:eastAsia="Calibri" w:hAnsi="Calibri" w:cs="Calibri"/>
          <w:color w:val="000000"/>
          <w:sz w:val="22"/>
          <w:szCs w:val="22"/>
        </w:rPr>
        <w:t xml:space="preserve">v platném znění, vyžádat si patřičná povolení orgánu </w:t>
      </w:r>
      <w:r w:rsidR="006B787A" w:rsidRPr="000374A2">
        <w:rPr>
          <w:rFonts w:ascii="Calibri" w:eastAsia="Calibri" w:hAnsi="Calibri" w:cs="Calibri"/>
          <w:color w:val="000000"/>
          <w:sz w:val="22"/>
          <w:szCs w:val="22"/>
        </w:rPr>
        <w:t>určené</w:t>
      </w:r>
      <w:r w:rsidR="006B787A">
        <w:rPr>
          <w:rFonts w:ascii="Calibri" w:eastAsia="Calibri" w:hAnsi="Calibri" w:cs="Calibri"/>
          <w:color w:val="000000"/>
          <w:sz w:val="22"/>
          <w:szCs w:val="22"/>
        </w:rPr>
        <w:t>ho tímto předpisem.</w:t>
      </w:r>
    </w:p>
    <w:p w14:paraId="3D5CF01E" w14:textId="77777777" w:rsidR="008427C1" w:rsidRDefault="009E0D8F">
      <w:pPr>
        <w:numPr>
          <w:ilvl w:val="1"/>
          <w:numId w:val="8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udržovat řádný vzhled předmětu nájmu.</w:t>
      </w:r>
    </w:p>
    <w:p w14:paraId="31748B96" w14:textId="77777777" w:rsidR="008427C1" w:rsidRDefault="009E0D8F">
      <w:pPr>
        <w:numPr>
          <w:ilvl w:val="1"/>
          <w:numId w:val="8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Předchozí písemný souhlas pronajímatele je zapotřebí pro umístění jakékoliv reklamy či informačního zařízení (informačního štítu tabulky a podobně) na nemovitou věc, kde se nachází předmět nájmu. Nejpozději při předání předmětu nájmu zpět pronajímateli odstraní nájemce na svůj náklad případnou reklamu či informační zařízení.</w:t>
      </w:r>
    </w:p>
    <w:p w14:paraId="5F1BC76B" w14:textId="77777777" w:rsidR="008427C1" w:rsidRDefault="009E0D8F">
      <w:pPr>
        <w:numPr>
          <w:ilvl w:val="1"/>
          <w:numId w:val="8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Rovněž nebude zasahovat do míst s potencionálním výskytem archeologických nálezů, tj. do terénu, pod podlahy nebo zásypů kleneb. </w:t>
      </w:r>
    </w:p>
    <w:p w14:paraId="47BE2A1D" w14:textId="77777777" w:rsidR="008427C1" w:rsidRDefault="009E0D8F">
      <w:pPr>
        <w:numPr>
          <w:ilvl w:val="1"/>
          <w:numId w:val="8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je po skončení nájemního vztahu povinen odevzdat předmět nájmu v takovém stavu, v jakém mu byl předán při zohlednění obvyklého opotřebení při řádném užívání a odstranit veškeré změny a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úpravy. Dohodnou-li se smluvní strany, že změny a úpravy provedené na předmětu nájmu mohou být ponechány, nemá nájemce nárok na jakékoliv vypořádání z důvodů možného zhodnocení předmětu nájmu.</w:t>
      </w:r>
    </w:p>
    <w:p w14:paraId="656276FF" w14:textId="77777777" w:rsidR="008427C1" w:rsidRDefault="008427C1">
      <w:pP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D7BF406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Práva a povinnosti pronajímatele</w:t>
      </w:r>
    </w:p>
    <w:p w14:paraId="674D466C" w14:textId="77777777" w:rsidR="008427C1" w:rsidRDefault="009E0D8F">
      <w:pPr>
        <w:numPr>
          <w:ilvl w:val="1"/>
          <w:numId w:val="7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je povinen zajistit řádný a nerušený výkon nájemních práv nájemce po celou dobu nájemního vztahu, aby bylo možno dosáhnout účelu nájmu.</w:t>
      </w:r>
    </w:p>
    <w:p w14:paraId="1A937893" w14:textId="77777777" w:rsidR="008427C1" w:rsidRDefault="009E0D8F">
      <w:pPr>
        <w:numPr>
          <w:ilvl w:val="1"/>
          <w:numId w:val="7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Pronajímatele a jím pověření zaměstnanci jsou oprávněni vstoupit do předmětu nájmu,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Není-li možné do prostor vstoupit, vyzve pronajímatel nájemce ke zpřístupnění prostor a poskytne mu k tomu přiměřenou lhůtu. Po uplynutí lhůty může pronajímatel do předmětu nájmu vstoupit a provést zamýšlené činnosti.</w:t>
      </w:r>
    </w:p>
    <w:p w14:paraId="268562FD" w14:textId="77777777" w:rsidR="008427C1" w:rsidRDefault="009E0D8F">
      <w:pPr>
        <w:numPr>
          <w:ilvl w:val="1"/>
          <w:numId w:val="7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a jím pověření zaměstnanci jsou oprávněni vstoupit do předmětu nájmu i v případech, kdy to vyžaduje náhle vzniklý havarijní stav či jiná podobná skutečnost. O tomto musí pronajímatel nájemce neprodleně uvědomit ihned po takovémto vstupu do předmětu nájmu, jestliže nebylo možno nájemce informovat předem. Rovněž v případě, že pronajímatel bude požádán o provedení drobných úprav v předmětu nájmu, je oprávněn takto provést i bez přítomnosti pracovníka nájemce, jestliže nemá možnost provést tuto opravu v jiném čase a na tuto skutečnost nájemce upozorní.</w:t>
      </w:r>
    </w:p>
    <w:p w14:paraId="6633579A" w14:textId="77777777" w:rsidR="008427C1" w:rsidRDefault="009E0D8F">
      <w:pPr>
        <w:numPr>
          <w:ilvl w:val="1"/>
          <w:numId w:val="7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bere na vědomí, že pronajímatel bude mít v držení náhradní klíče k předmětu nájmu a nájemce není oprávněn provést bez písemného souhlasu pronajímatele výměnu zámků. Všechny předané klíče, případně i jejich kopie, odevzdá nájemce zpět pronajímateli při předání předmětu nájmu po skončení nájmu bez nároku na náhradu nákladů spojených s jejich pořízením.</w:t>
      </w:r>
    </w:p>
    <w:p w14:paraId="5AB4AB06" w14:textId="77777777" w:rsidR="008427C1" w:rsidRDefault="009E0D8F">
      <w:pPr>
        <w:numPr>
          <w:ilvl w:val="1"/>
          <w:numId w:val="7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14:paraId="6011FD96" w14:textId="77777777" w:rsidR="008427C1" w:rsidRDefault="009E0D8F">
      <w:pPr>
        <w:numPr>
          <w:ilvl w:val="1"/>
          <w:numId w:val="7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právo v rámci definovaného účelu nájmu dle čl. III této nájemní smlouvy nájemci písemně určit minimální rozsah nabízeného zboží, služeb nebo jejich minimální kvalitu.</w:t>
      </w:r>
    </w:p>
    <w:p w14:paraId="2D3A5FBA" w14:textId="77777777" w:rsidR="008427C1" w:rsidRPr="000A4B2D" w:rsidRDefault="009E0D8F">
      <w:pPr>
        <w:numPr>
          <w:ilvl w:val="1"/>
          <w:numId w:val="7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A4B2D">
        <w:rPr>
          <w:rFonts w:ascii="Calibri" w:eastAsia="Calibri" w:hAnsi="Calibri" w:cs="Calibri"/>
          <w:color w:val="000000"/>
          <w:sz w:val="22"/>
          <w:szCs w:val="22"/>
        </w:rPr>
        <w:t>Nájemce je povinen v případě porušení podmínek stanovených pronajímatelem dle předchozí</w:t>
      </w:r>
      <w:r w:rsidR="000A4B2D">
        <w:rPr>
          <w:rFonts w:ascii="Calibri" w:eastAsia="Calibri" w:hAnsi="Calibri" w:cs="Calibri"/>
          <w:color w:val="000000"/>
          <w:sz w:val="22"/>
          <w:szCs w:val="22"/>
        </w:rPr>
        <w:t>ho</w:t>
      </w:r>
      <w:r w:rsidRPr="000A4B2D">
        <w:rPr>
          <w:rFonts w:ascii="Calibri" w:eastAsia="Calibri" w:hAnsi="Calibri" w:cs="Calibri"/>
          <w:color w:val="000000"/>
          <w:sz w:val="22"/>
          <w:szCs w:val="22"/>
        </w:rPr>
        <w:t xml:space="preserve"> odstavc</w:t>
      </w:r>
      <w:r w:rsidR="000A4B2D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0A4B2D">
        <w:rPr>
          <w:rFonts w:ascii="Calibri" w:eastAsia="Calibri" w:hAnsi="Calibri" w:cs="Calibri"/>
          <w:color w:val="000000"/>
          <w:sz w:val="22"/>
          <w:szCs w:val="22"/>
        </w:rPr>
        <w:t xml:space="preserve"> uhradit smluvní pokutu ve výši 500 Kč za každý takovýto případ.</w:t>
      </w:r>
    </w:p>
    <w:p w14:paraId="33771C31" w14:textId="77777777" w:rsidR="008427C1" w:rsidRDefault="008427C1">
      <w:pP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7B81516C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Práva a povinnosti nájemce</w:t>
      </w:r>
    </w:p>
    <w:p w14:paraId="2B1DA355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umožnit pronajímateli výkon jeho práv vyplývajících z této nájemní smlouvy a obecně závazných předpisů.</w:t>
      </w:r>
    </w:p>
    <w:p w14:paraId="2B0FBA8A" w14:textId="77777777" w:rsidR="008427C1" w:rsidRPr="00D9527D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je povinen na svůj náklad provádět běžnou údržbu předmětu nájmu. </w:t>
      </w:r>
      <w:r w:rsidRPr="00D9527D">
        <w:rPr>
          <w:rFonts w:ascii="Calibri" w:eastAsia="Calibri" w:hAnsi="Calibri" w:cs="Calibri"/>
          <w:color w:val="000000"/>
          <w:sz w:val="22"/>
          <w:szCs w:val="22"/>
        </w:rPr>
        <w:t xml:space="preserve">Mezi běžnou údržbu se řadí například: </w:t>
      </w:r>
      <w:r w:rsidR="00D9527D">
        <w:rPr>
          <w:rFonts w:ascii="Calibri" w:eastAsia="Calibri" w:hAnsi="Calibri" w:cs="Calibri"/>
          <w:color w:val="000000"/>
          <w:sz w:val="22"/>
          <w:szCs w:val="22"/>
        </w:rPr>
        <w:t>lokální opravy výmalby, otluky dlažby a kachliček, odpady a vodovodní baterie, poškození způsobená provozem</w:t>
      </w:r>
      <w:r w:rsidRPr="00D9527D"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 w:rsidRPr="00D9527D">
        <w:rPr>
          <w:rFonts w:ascii="Calibri" w:eastAsia="Calibri" w:hAnsi="Calibri" w:cs="Calibri"/>
          <w:color w:val="000000"/>
          <w:sz w:val="22"/>
          <w:szCs w:val="22"/>
        </w:rPr>
        <w:t xml:space="preserve"> Nájemce bude provádět drobné opravy předmětu nájmu, a to ty, náklady na jejichž provedení nepřesáhnou částku 3000 Kč v každém jednotlivém případě.</w:t>
      </w:r>
    </w:p>
    <w:p w14:paraId="1573FEA0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1DFC0656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bere na vědomí, že předmět nájmu je součástí památkově chráněného objektu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14:paraId="688BCC49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v předmětu nájmu zajišťuje bezpečnost a ochranu zdraví svých zaměstnanců při práci s ohledem na rizika možného ohrožení jejich života a zdraví, která se týkají výkonu práce (dále jen „rizika“), jakož i bezpečnost dalších osob v předmětu nájmu se nacházejících, a požární ochranu ve smyslu obecně závazných předpisů a je odpovědný za dodržování ustanovení těchto předpisů a za škody, které vzniknou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jeho činností nebo v souvislosti s touto činností. Nájemce je povinen informovat pronajímatele o rizicích a opatřeních přijatých k ochraně před jejich působením. </w:t>
      </w:r>
    </w:p>
    <w:p w14:paraId="5628EB74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právo provádět kontrolu zabezpečování bezpečnosti práce a protipožární ochrany. Nájemce je povinen být při kontrolách součinný.</w:t>
      </w:r>
    </w:p>
    <w:p w14:paraId="7ADDA04C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se zavazuje během užívání předmětu nájmu dodržovat organizační a bezpečnostní pokyny odpovědných zaměstnanců pronajímatele.</w:t>
      </w:r>
    </w:p>
    <w:p w14:paraId="235B77AD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si bude počínat tak, aby nedošlo ke škodě na majetku pronajímatele, na majetku a zdraví dalších osob. Jakékoliv závady nebo škodní události bude neprodleně hlásit pronajímateli.</w:t>
      </w:r>
    </w:p>
    <w:p w14:paraId="070AE944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odpovídá za všechny osoby, kterým umožní přístup do předmětu nájmu. Nájemce odpovídá za škodu, které tyto osoby způsobí.</w:t>
      </w:r>
    </w:p>
    <w:p w14:paraId="48A378C5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se zavazuje dodržovat a zajistit, že v předmětu nájmu nebude používán otevřený oheň a nebude se kouřit</w:t>
      </w:r>
      <w:r w:rsidR="00335EF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25CF7B5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veřejného provozování autorských děl (živě nebo z nosičů) nájemcem je nájemce povinen uzavřít s příslušným správcem autorských práv smlouvu o užití díla (licenční smlouvu) a uhradit tomuto správci autorských práv poplatky dle platných sazebníků příslušného správce.</w:t>
      </w:r>
    </w:p>
    <w:p w14:paraId="0397A1F1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neodpovídá za škody na majetku vneseném nájemcem do předmětu nájmu a ani za škody na majetku vneseném do předmětu nájmu jinými osobami se souhlasem nájemce.</w:t>
      </w:r>
    </w:p>
    <w:p w14:paraId="6B2C3D17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neodpovídá za bezpečnost, zdraví a majetek osob, které se zdržují v předmětu nájmu a ani za škody osobám vzniklé při provozování činnosti uvedené v čl. III této smlouvy.</w:t>
      </w:r>
    </w:p>
    <w:p w14:paraId="1B309172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neodpovídá za škody způsobené nájemci v důsledku živelné události.</w:t>
      </w:r>
    </w:p>
    <w:p w14:paraId="31488015" w14:textId="77777777" w:rsidR="008427C1" w:rsidRDefault="009E0D8F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35EF0">
        <w:rPr>
          <w:rFonts w:ascii="Calibri" w:eastAsia="Calibri" w:hAnsi="Calibri" w:cs="Calibri"/>
          <w:color w:val="000000"/>
          <w:sz w:val="22"/>
          <w:szCs w:val="22"/>
        </w:rPr>
        <w:t xml:space="preserve">Nájemce bere na vědomí, že v areálu objektu je instalován kamerový systém a dochází tak ke zpracování osobních údajů osob, které vstupují do monitorovaného prostoru. Pronajímatel při jejich zpracování postupuje dle platných právních předpisů. </w:t>
      </w:r>
    </w:p>
    <w:p w14:paraId="45666BE9" w14:textId="77777777" w:rsidR="00422A96" w:rsidRDefault="00422A96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akceptovat platbu platební kartou.</w:t>
      </w:r>
    </w:p>
    <w:p w14:paraId="0546B206" w14:textId="77777777" w:rsidR="00422A96" w:rsidRDefault="00422A96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se zavazuje provádět úklid společných WC pro návštěvníky zámku i občerstvení v určené dny (pátek, sobota) </w:t>
      </w:r>
      <w:r w:rsidR="00CB00A5">
        <w:rPr>
          <w:rFonts w:ascii="Calibri" w:eastAsia="Calibri" w:hAnsi="Calibri" w:cs="Calibri"/>
          <w:color w:val="000000"/>
          <w:sz w:val="22"/>
          <w:szCs w:val="22"/>
        </w:rPr>
        <w:t>a mimo běžnou otevírací dobu zámku.</w:t>
      </w:r>
    </w:p>
    <w:p w14:paraId="042844A2" w14:textId="77777777" w:rsidR="00CB00A5" w:rsidRDefault="00CB00A5">
      <w:pPr>
        <w:numPr>
          <w:ilvl w:val="1"/>
          <w:numId w:val="9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nájemci v areálu zámku vyčlení dvě parkovací místa pro zaměstnance.</w:t>
      </w:r>
    </w:p>
    <w:p w14:paraId="17DDB406" w14:textId="77777777" w:rsidR="00CB00A5" w:rsidRPr="00335EF0" w:rsidRDefault="00CB00A5" w:rsidP="00CB00A5">
      <w:pPr>
        <w:spacing w:after="60"/>
        <w:ind w:lef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50145C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Doba nájmu a ukončení nájmu</w:t>
      </w:r>
    </w:p>
    <w:p w14:paraId="2E29E085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7" w:name="1t3h5sf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se uzavírá na dobu určitou, a to od </w:t>
      </w:r>
      <w:r w:rsid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>X</w:t>
      </w:r>
      <w:r w:rsidR="00335EF0" w:rsidRP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. </w:t>
      </w:r>
      <w:r w:rsid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>X</w:t>
      </w:r>
      <w:r w:rsidR="00335EF0" w:rsidRP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>. 2025</w:t>
      </w:r>
      <w:bookmarkStart w:id="8" w:name="4d34og8"/>
      <w:bookmarkEnd w:id="8"/>
      <w:r w:rsidRP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do</w:t>
      </w:r>
      <w:r w:rsidR="00335EF0" w:rsidRP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r w:rsid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>XX</w:t>
      </w:r>
      <w:r w:rsidR="00335EF0" w:rsidRP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. </w:t>
      </w:r>
      <w:r w:rsid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>X</w:t>
      </w:r>
      <w:r w:rsidR="00335EF0" w:rsidRP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>. 2028</w:t>
      </w:r>
      <w:r w:rsidRPr="00FF4128">
        <w:rPr>
          <w:rFonts w:ascii="Calibri" w:eastAsia="Calibri" w:hAnsi="Calibri" w:cs="Calibri"/>
          <w:color w:val="000000"/>
          <w:sz w:val="22"/>
          <w:szCs w:val="22"/>
          <w:highlight w:val="yellow"/>
        </w:rPr>
        <w:t>.</w:t>
      </w:r>
    </w:p>
    <w:p w14:paraId="179712A7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mohou smlouvu vypovědět v souladu s § 2308 a § 2309 zákona č. 89/2012 Sb., občanský zákoník, ve znění pozdějších předpisů, s výpovědní lhůtou </w:t>
      </w:r>
      <w:r w:rsidR="00335EF0" w:rsidRPr="00335EF0">
        <w:rPr>
          <w:rFonts w:ascii="Calibri" w:eastAsia="Calibri" w:hAnsi="Calibri" w:cs="Calibri"/>
          <w:color w:val="000000"/>
          <w:sz w:val="22"/>
          <w:szCs w:val="22"/>
        </w:rPr>
        <w:t xml:space="preserve">jeden </w:t>
      </w:r>
      <w:r w:rsidRPr="00335EF0">
        <w:rPr>
          <w:rFonts w:ascii="Calibri" w:eastAsia="Calibri" w:hAnsi="Calibri" w:cs="Calibri"/>
          <w:color w:val="000000"/>
          <w:sz w:val="22"/>
          <w:szCs w:val="22"/>
        </w:rPr>
        <w:t>měsíc.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Výpověď musí být písemná a musí být uveden její důvod, jinak je neplatná. Výpovědní doba běží od </w:t>
      </w:r>
      <w:r w:rsidRPr="00A713E8">
        <w:rPr>
          <w:rFonts w:ascii="Calibri" w:eastAsia="Calibri" w:hAnsi="Calibri" w:cs="Calibri"/>
          <w:color w:val="000000"/>
          <w:sz w:val="22"/>
          <w:szCs w:val="22"/>
        </w:rPr>
        <w:t>prvního dne kalendářního měsíce</w:t>
      </w:r>
      <w:r w:rsidR="00A713E8" w:rsidRPr="00A713E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následujícího poté, co výpověď došla druhé straně.</w:t>
      </w:r>
    </w:p>
    <w:p w14:paraId="19B35D53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je oprávněn písemně vypovědět nájem bez výpovědní doby v případech dle občanského zákoníku a dále v případech, kdy nájemce porušuje své povinnosti zvlášť závažným způsobem. Za zvlášť závažné porušení povinností nájemcem se považuje zejména:</w:t>
      </w:r>
    </w:p>
    <w:p w14:paraId="110FE5AA" w14:textId="77777777" w:rsidR="008427C1" w:rsidRPr="00A713E8" w:rsidRDefault="009E0D8F">
      <w:pPr>
        <w:numPr>
          <w:ilvl w:val="2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713E8">
        <w:rPr>
          <w:rFonts w:ascii="Calibri" w:eastAsia="Calibri" w:hAnsi="Calibri" w:cs="Calibri"/>
          <w:color w:val="000000"/>
          <w:sz w:val="22"/>
          <w:szCs w:val="22"/>
        </w:rPr>
        <w:t>jestliže nájemce užívá předmět nájmu jiným způsobem nebo k jinému než sjednanému účelu, nebo nedodržuje závazné podmínky stanovené pro užívání předmětu nájmu (např.</w:t>
      </w:r>
      <w:r w:rsidR="00A713E8">
        <w:rPr>
          <w:rFonts w:ascii="Calibri" w:eastAsia="Calibri" w:hAnsi="Calibri" w:cs="Calibri"/>
          <w:color w:val="000000"/>
          <w:sz w:val="22"/>
          <w:szCs w:val="22"/>
        </w:rPr>
        <w:t xml:space="preserve"> zasahuje do elektrických či vodovodních rozvodů, užívá prostory neuvedené v této smlouvě apod.</w:t>
      </w:r>
      <w:r w:rsidRPr="00A713E8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29EA5A30" w14:textId="77777777" w:rsidR="008427C1" w:rsidRDefault="009E0D8F">
      <w:pPr>
        <w:numPr>
          <w:ilvl w:val="2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nájemce poškozuje předmět nájmu závažným nebo nenapravitelným způsobem nebo způsobí-li jinak závažnou škodu na předmětu nájmu,</w:t>
      </w:r>
    </w:p>
    <w:p w14:paraId="1E92BC74" w14:textId="77777777" w:rsidR="008427C1" w:rsidRDefault="009E0D8F">
      <w:pPr>
        <w:numPr>
          <w:ilvl w:val="2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nájemce bude v prodlení s placením nájemného a služeb spojených s nájmem po dobu </w:t>
      </w:r>
      <w:r w:rsidRPr="00A713E8">
        <w:rPr>
          <w:rFonts w:ascii="Calibri" w:eastAsia="Calibri" w:hAnsi="Calibri" w:cs="Calibri"/>
          <w:color w:val="000000"/>
          <w:sz w:val="22"/>
          <w:szCs w:val="22"/>
        </w:rPr>
        <w:t>delší 15 dnů.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E547FE2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nájem dnem následujícím po doručení výpovědi druhé smluvní straně.</w:t>
      </w:r>
    </w:p>
    <w:p w14:paraId="0ABB07D4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14:paraId="4427F3E8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A713E8">
        <w:rPr>
          <w:rFonts w:ascii="Calibri" w:eastAsia="Calibri" w:hAnsi="Calibri" w:cs="Calibri"/>
          <w:color w:val="000000"/>
          <w:sz w:val="22"/>
          <w:szCs w:val="22"/>
        </w:rPr>
        <w:t>3.000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,- Kč za každý den prodlení se splněním této </w:t>
      </w:r>
      <w:r w:rsidR="00A713E8">
        <w:rPr>
          <w:rFonts w:ascii="Calibri" w:eastAsia="Calibri" w:hAnsi="Calibri" w:cs="Calibri"/>
          <w:color w:val="000000"/>
          <w:sz w:val="22"/>
          <w:szCs w:val="22"/>
        </w:rPr>
        <w:t>povinnosti,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bez ohledu na jeho zavinění. </w:t>
      </w:r>
    </w:p>
    <w:p w14:paraId="4BC4E558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si sjednávají, že při skončení nájmu se nepoužije ust. § 2315 zákona č. 89/2012 Sb., občanský zákoník, ve znění pozdějších předpisů, o náhradě za převzetí zákaznické základny.</w:t>
      </w:r>
    </w:p>
    <w:p w14:paraId="5B9F478B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 opustil a pronajímatel s nimi může naložit podle svého uvážení; může si je i přivlastnit, či je zlikvidovat na náklady nájemce.</w:t>
      </w:r>
    </w:p>
    <w:p w14:paraId="088892E4" w14:textId="77777777" w:rsidR="008427C1" w:rsidRDefault="009E0D8F">
      <w:pPr>
        <w:numPr>
          <w:ilvl w:val="1"/>
          <w:numId w:val="12"/>
        </w:num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sjednaly, že ust. § 2230 zákona č. 89/2012 Sb., občanský zákoník, v platném znění, o automatickém prodloužení nájmu se neuplatní.</w:t>
      </w:r>
    </w:p>
    <w:p w14:paraId="7A77DDD0" w14:textId="77777777" w:rsidR="008427C1" w:rsidRDefault="008427C1">
      <w:pP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855C1D" w14:textId="77777777" w:rsidR="008427C1" w:rsidRDefault="009E0D8F">
      <w:pPr>
        <w:keepNext/>
        <w:keepLines/>
        <w:widowControl w:val="0"/>
        <w:numPr>
          <w:ilvl w:val="0"/>
          <w:numId w:val="12"/>
        </w:numP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Závěrečná ustanovení</w:t>
      </w:r>
    </w:p>
    <w:p w14:paraId="0E2B9F94" w14:textId="77777777" w:rsidR="008427C1" w:rsidRPr="00036ADD" w:rsidRDefault="009E0D8F">
      <w:pPr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písemného vyúčtování odeslaného druhé smluvní straně. Uhrazením smluvní pokuty není dotčen nárok na náhradu škody. Nárok na úhradu </w:t>
      </w:r>
      <w:r w:rsidRPr="00036ADD">
        <w:rPr>
          <w:rFonts w:ascii="Calibri" w:eastAsia="Calibri" w:hAnsi="Calibri" w:cs="Calibri"/>
          <w:color w:val="000000"/>
          <w:sz w:val="22"/>
          <w:szCs w:val="22"/>
        </w:rPr>
        <w:t>smluvní pokuty ani škody není nikterak dotčen odstoupením od smlouvy.</w:t>
      </w:r>
    </w:p>
    <w:p w14:paraId="3A95987A" w14:textId="77777777" w:rsidR="008427C1" w:rsidRPr="00036ADD" w:rsidRDefault="009E0D8F">
      <w:pPr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36ADD"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ve dvou vyhotoveních. Každá ze smluvních stran obdržela po jednom totožném vyhotovení. </w:t>
      </w:r>
    </w:p>
    <w:p w14:paraId="18076481" w14:textId="77777777" w:rsidR="008427C1" w:rsidRDefault="009E0D8F">
      <w:pPr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36ADD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 a nabude účinnosti dnem uveřejnění a její uveřejnění zajistí pronajímatel.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6EA756B8" w14:textId="77777777" w:rsidR="008427C1" w:rsidRDefault="009E0D8F">
      <w:pPr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4B6B0FB" w14:textId="77777777" w:rsidR="008427C1" w:rsidRDefault="009E0D8F">
      <w:pPr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0FB04276" w14:textId="77777777" w:rsidR="008427C1" w:rsidRDefault="009E0D8F">
      <w:pPr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77F261F6" w14:textId="77777777" w:rsidR="008427C1" w:rsidRDefault="009E0D8F">
      <w:pPr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28A503F1" w14:textId="77777777" w:rsidR="00E47D5C" w:rsidRDefault="00E47D5C" w:rsidP="00857E1B">
      <w:pP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BE9D1B" w14:textId="77777777" w:rsidR="008427C1" w:rsidRDefault="008427C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4607"/>
        <w:gridCol w:w="4605"/>
      </w:tblGrid>
      <w:tr w:rsidR="008427C1" w14:paraId="6565C70B" w14:textId="77777777">
        <w:trPr>
          <w:jc w:val="center"/>
        </w:trPr>
        <w:tc>
          <w:tcPr>
            <w:tcW w:w="4606" w:type="dxa"/>
          </w:tcPr>
          <w:p w14:paraId="399DFCA9" w14:textId="77777777" w:rsidR="008427C1" w:rsidRDefault="009E0D8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          , dne      </w:t>
            </w:r>
          </w:p>
          <w:p w14:paraId="7CF2AFCA" w14:textId="77777777" w:rsidR="008427C1" w:rsidRDefault="008427C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4ED4C5" w14:textId="77777777" w:rsidR="008427C1" w:rsidRDefault="008427C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452AC3" w14:textId="77777777" w:rsidR="008427C1" w:rsidRDefault="009E0D8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44864039" w14:textId="77777777" w:rsidR="008427C1" w:rsidRDefault="009E0D8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pronajímatele)</w:t>
            </w:r>
          </w:p>
          <w:p w14:paraId="6D5AAC30" w14:textId="77777777" w:rsidR="008427C1" w:rsidRDefault="009E0D8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5" w:type="dxa"/>
          </w:tcPr>
          <w:p w14:paraId="4A8C9357" w14:textId="77777777" w:rsidR="008427C1" w:rsidRDefault="009E0D8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          , dne      </w:t>
            </w:r>
          </w:p>
          <w:p w14:paraId="0DFD4BA6" w14:textId="77777777" w:rsidR="008427C1" w:rsidRDefault="008427C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4BC704" w14:textId="77777777" w:rsidR="008427C1" w:rsidRDefault="008427C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1EC8A1" w14:textId="77777777" w:rsidR="008427C1" w:rsidRDefault="009E0D8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703C312" w14:textId="77777777" w:rsidR="008427C1" w:rsidRDefault="009E0D8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nájemce)</w:t>
            </w:r>
          </w:p>
          <w:p w14:paraId="165F69AD" w14:textId="77777777" w:rsidR="008427C1" w:rsidRDefault="009E0D8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0C91EFDA" w14:textId="77777777" w:rsidR="00FF4128" w:rsidRDefault="00FF412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5AB4587" w14:textId="77777777" w:rsidR="00FF4128" w:rsidRDefault="00FF412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69722E3" w14:textId="0D1CCE9E" w:rsidR="008427C1" w:rsidRPr="00E94DB1" w:rsidRDefault="00FF412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94DB1">
        <w:rPr>
          <w:rFonts w:ascii="Calibri" w:eastAsia="Calibri" w:hAnsi="Calibri" w:cs="Calibri"/>
          <w:b/>
          <w:color w:val="000000"/>
          <w:sz w:val="22"/>
          <w:szCs w:val="22"/>
        </w:rPr>
        <w:t>Příloha</w:t>
      </w:r>
    </w:p>
    <w:p w14:paraId="252F2D96" w14:textId="1E8E2A7D" w:rsidR="00E94DB1" w:rsidRDefault="00E94DB1">
      <w:pPr>
        <w:rPr>
          <w:rFonts w:ascii="Calibri" w:eastAsia="Calibri" w:hAnsi="Calibri" w:cs="Calibri"/>
          <w:color w:val="000000"/>
          <w:sz w:val="22"/>
          <w:szCs w:val="22"/>
        </w:rPr>
      </w:pPr>
      <w:r w:rsidRPr="00E94DB1">
        <w:rPr>
          <w:rFonts w:ascii="Calibri" w:eastAsia="Calibri" w:hAnsi="Calibri" w:cs="Calibri"/>
          <w:color w:val="000000"/>
          <w:sz w:val="22"/>
          <w:szCs w:val="22"/>
        </w:rPr>
        <w:t>Specifikace poskytovaných služeb a úhrada za tyto služby</w:t>
      </w:r>
    </w:p>
    <w:p w14:paraId="4A6EB84E" w14:textId="51212C7A" w:rsidR="00E94DB1" w:rsidRDefault="00E94DB1">
      <w:pPr>
        <w:rPr>
          <w:rFonts w:ascii="Calibri" w:eastAsia="Calibri" w:hAnsi="Calibri" w:cs="Calibri"/>
          <w:color w:val="000000"/>
          <w:sz w:val="22"/>
          <w:szCs w:val="22"/>
        </w:rPr>
      </w:pPr>
      <w:r w:rsidRPr="00E94DB1">
        <w:rPr>
          <w:rFonts w:ascii="Calibri" w:eastAsia="Calibri" w:hAnsi="Calibri" w:cs="Calibri"/>
          <w:color w:val="000000"/>
          <w:sz w:val="22"/>
          <w:szCs w:val="22"/>
        </w:rPr>
        <w:t xml:space="preserve">Specifikace bližších podmínek užívání předmětu nájmu </w:t>
      </w: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110BE9D2" w14:textId="77777777" w:rsidR="00E94DB1" w:rsidRDefault="00E94DB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F2225F3" w14:textId="77777777" w:rsidR="00FF4128" w:rsidRPr="00FF4128" w:rsidRDefault="00FF4128" w:rsidP="00FF4128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9" w:name="_Hlk194065247"/>
      <w:r w:rsidRPr="00FF4128">
        <w:rPr>
          <w:rFonts w:ascii="Calibri" w:eastAsia="Calibri" w:hAnsi="Calibri" w:cs="Calibri"/>
          <w:b/>
          <w:color w:val="000000"/>
          <w:sz w:val="22"/>
          <w:szCs w:val="22"/>
        </w:rPr>
        <w:t>Specifikace poskytovaných služeb a úhrada za tyto služby</w:t>
      </w:r>
    </w:p>
    <w:bookmarkEnd w:id="9"/>
    <w:p w14:paraId="2C1699B2" w14:textId="77777777" w:rsidR="00FF4128" w:rsidRDefault="00FF412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A1300E6" w14:textId="77777777" w:rsidR="00FF4128" w:rsidRDefault="00FF4128" w:rsidP="00FF4128">
      <w:p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souvislosti s nájmem poskytuje pronajímatel nájemci tyto služby:</w:t>
      </w:r>
    </w:p>
    <w:p w14:paraId="46168372" w14:textId="77777777" w:rsidR="00FF4128" w:rsidRDefault="00FF4128" w:rsidP="00FF4128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el. energie,</w:t>
      </w:r>
    </w:p>
    <w:p w14:paraId="68BD8B0C" w14:textId="77777777" w:rsidR="00FF4128" w:rsidRDefault="00FF4128" w:rsidP="00FF4128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vodné/stočné </w:t>
      </w:r>
    </w:p>
    <w:p w14:paraId="4A8C3502" w14:textId="77777777" w:rsidR="00FF4128" w:rsidRDefault="00FF4128" w:rsidP="00FF4128">
      <w:pP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</w:p>
    <w:p w14:paraId="7FDA6BE8" w14:textId="77777777" w:rsidR="00FF4128" w:rsidRDefault="00FF4128" w:rsidP="00FF4128">
      <w:p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Způsob vyúčtování těchto služeb formou přeúčtování skutečnosti dle podružného elektroměru/vodoměru.</w:t>
      </w:r>
    </w:p>
    <w:p w14:paraId="796AAFD8" w14:textId="77777777" w:rsidR="00FF4128" w:rsidRDefault="00FF4128" w:rsidP="00FF4128">
      <w:pP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 služeb </w:t>
      </w:r>
      <w:r w:rsidRPr="00F55286">
        <w:rPr>
          <w:rFonts w:ascii="Calibri" w:eastAsia="Calibri" w:hAnsi="Calibri" w:cs="Calibri"/>
          <w:color w:val="000000"/>
          <w:sz w:val="22"/>
          <w:szCs w:val="22"/>
        </w:rPr>
        <w:t>dle aktuálního ceníku dodavatele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určeného zřizovatelem pronajímatele. Ceny služeb budou účtovány </w:t>
      </w:r>
      <w:r w:rsidR="00E47D5C">
        <w:rPr>
          <w:rFonts w:ascii="Calibri" w:eastAsia="Calibri" w:hAnsi="Calibri" w:cs="Calibri"/>
          <w:color w:val="000000"/>
          <w:sz w:val="22"/>
          <w:szCs w:val="22"/>
        </w:rPr>
        <w:t xml:space="preserve">minimálně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4x ročně dle skutečné spotřeby a stavu podružných měřidel. Pronajímatel provede prokazatelně odečet stavu podružných měřidel, učiní záznam a se stavem seznámí nájemce. Nájemce má právo průběžně sledovat stavy podružných měřidel. Pro vyúčtování je </w:t>
      </w:r>
      <w:r w:rsidRPr="00E47D5C">
        <w:rPr>
          <w:rFonts w:ascii="Calibri" w:eastAsia="Calibri" w:hAnsi="Calibri" w:cs="Calibri"/>
          <w:b/>
          <w:color w:val="000000"/>
          <w:sz w:val="22"/>
          <w:szCs w:val="22"/>
        </w:rPr>
        <w:t>rozhodující průběžná evidence pronajímatele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CE8E862" w14:textId="4C897AF6" w:rsidR="00FF4128" w:rsidRDefault="00E47D5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Odvoz komunálního a tříděného odpadu si zajišťuje </w:t>
      </w:r>
      <w:r w:rsidR="00C5734D">
        <w:rPr>
          <w:rFonts w:ascii="Calibri" w:eastAsia="Calibri" w:hAnsi="Calibri" w:cs="Calibri"/>
          <w:color w:val="000000"/>
          <w:sz w:val="22"/>
          <w:szCs w:val="22"/>
        </w:rPr>
        <w:t>nájemce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sám a není oprávněn používat nádoby na odpady pronajímatele.</w:t>
      </w:r>
    </w:p>
    <w:p w14:paraId="5E27B544" w14:textId="77777777" w:rsidR="00E47D5C" w:rsidRDefault="00E47D5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461DE5A" w14:textId="77777777" w:rsidR="00E47D5C" w:rsidRDefault="00E47D5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99BE4B5" w14:textId="77777777" w:rsidR="00E47D5C" w:rsidRDefault="00E47D5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5CA1CE91" w14:textId="77777777" w:rsidR="00E47D5C" w:rsidRDefault="00E47D5C">
      <w:pPr>
        <w:rPr>
          <w:rFonts w:ascii="Calibri" w:eastAsia="Calibri" w:hAnsi="Calibri" w:cs="Calibri"/>
          <w:color w:val="000000"/>
          <w:sz w:val="22"/>
          <w:szCs w:val="22"/>
        </w:rPr>
      </w:pPr>
      <w:r w:rsidRPr="00E47D5C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Příloha: </w:t>
      </w:r>
    </w:p>
    <w:p w14:paraId="467E7036" w14:textId="77777777" w:rsidR="00E47D5C" w:rsidRDefault="00E47D5C" w:rsidP="00E47D5C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0" w:name="_Hlk194065273"/>
      <w:r w:rsidRPr="00E47D5C">
        <w:rPr>
          <w:rFonts w:ascii="Calibri" w:eastAsia="Calibri" w:hAnsi="Calibri" w:cs="Calibri"/>
          <w:b/>
          <w:color w:val="000000"/>
          <w:sz w:val="22"/>
          <w:szCs w:val="22"/>
        </w:rPr>
        <w:t>Specifikace bližších podmínek užívání předmětu nájmu</w:t>
      </w:r>
      <w:bookmarkEnd w:id="10"/>
    </w:p>
    <w:p w14:paraId="7BA391CB" w14:textId="77777777" w:rsidR="00E47D5C" w:rsidRDefault="00E47D5C" w:rsidP="00E47D5C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D1D1234" w14:textId="77777777" w:rsidR="00E47D5C" w:rsidRPr="00D33EF7" w:rsidRDefault="00D33EF7" w:rsidP="00E47D5C">
      <w:pPr>
        <w:rPr>
          <w:rFonts w:ascii="Calibri" w:eastAsia="Calibri" w:hAnsi="Calibri" w:cs="Calibri"/>
          <w:color w:val="000000"/>
          <w:sz w:val="22"/>
          <w:szCs w:val="22"/>
        </w:rPr>
      </w:pPr>
      <w:r w:rsidRPr="00D33EF7">
        <w:rPr>
          <w:rFonts w:ascii="Calibri" w:eastAsia="Calibri" w:hAnsi="Calibri" w:cs="Calibri"/>
          <w:color w:val="000000"/>
          <w:sz w:val="22"/>
          <w:szCs w:val="22"/>
        </w:rPr>
        <w:t>Pronajímatel bere na vědomí, že jeho prioritou je poskytování služeb pro návštěvníky zámku.</w:t>
      </w:r>
    </w:p>
    <w:p w14:paraId="6F503FA9" w14:textId="77777777" w:rsidR="00D33EF7" w:rsidRDefault="00D33EF7" w:rsidP="00E47D5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obdrží klíče od bočního vchodu a kód k otevření služebních vrat. O převzetí a podmínkách užívání klíčů bude sepsán záznam v knize klíčů objektu.</w:t>
      </w:r>
    </w:p>
    <w:p w14:paraId="74A73060" w14:textId="77777777" w:rsidR="00D33EF7" w:rsidRDefault="00D33EF7" w:rsidP="00E47D5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bere na vědomí, že zámek Hořovice jakož i celý areál je prohlášen NKP a požívá zvláštní režim ochrany.</w:t>
      </w:r>
    </w:p>
    <w:p w14:paraId="4CF7C7FD" w14:textId="77777777" w:rsidR="00D33EF7" w:rsidRDefault="00D33EF7" w:rsidP="00E47D5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Parkování pronajímatele a jeho zaměstnanců je možná pouze na vyhrazených místech.</w:t>
      </w:r>
    </w:p>
    <w:p w14:paraId="58C00B27" w14:textId="77777777" w:rsidR="00D33EF7" w:rsidRDefault="00D33EF7" w:rsidP="00E47D5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a jeho hosté budou používat společné WC s návštěvníky zámku. O úklid těchto prostor jakož i ostatních společných prostor se pronajímatel a nájemce dělí.</w:t>
      </w:r>
    </w:p>
    <w:p w14:paraId="5A78B3A1" w14:textId="77777777" w:rsidR="00D33EF7" w:rsidRPr="00D33EF7" w:rsidRDefault="00D33EF7" w:rsidP="00E47D5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není oprávněn skladovat svůj majetek </w:t>
      </w:r>
      <w:r w:rsidR="0060457C">
        <w:rPr>
          <w:rFonts w:ascii="Calibri" w:eastAsia="Calibri" w:hAnsi="Calibri" w:cs="Calibri"/>
          <w:color w:val="000000"/>
          <w:sz w:val="22"/>
          <w:szCs w:val="22"/>
        </w:rPr>
        <w:t xml:space="preserve">a zboží </w:t>
      </w:r>
      <w:r>
        <w:rPr>
          <w:rFonts w:ascii="Calibri" w:eastAsia="Calibri" w:hAnsi="Calibri" w:cs="Calibri"/>
          <w:color w:val="000000"/>
          <w:sz w:val="22"/>
          <w:szCs w:val="22"/>
        </w:rPr>
        <w:t>mimo prostory uvedené ve smlouvě.</w:t>
      </w:r>
    </w:p>
    <w:sectPr w:rsidR="00D33EF7" w:rsidRPr="00D33EF7" w:rsidSect="00A37E5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766" w:left="1134" w:header="709" w:footer="709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464EB" w14:textId="77777777" w:rsidR="00711F43" w:rsidRDefault="00711F43">
      <w:r>
        <w:separator/>
      </w:r>
    </w:p>
  </w:endnote>
  <w:endnote w:type="continuationSeparator" w:id="0">
    <w:p w14:paraId="26625D14" w14:textId="77777777" w:rsidR="00711F43" w:rsidRDefault="007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BD54C" w14:textId="77777777" w:rsidR="008427C1" w:rsidRDefault="009E0D8F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Sp. zn. 11.4.3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 xml:space="preserve"> PAGE 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t>0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(celkem 7)</w:t>
    </w:r>
    <w:r>
      <w:rPr>
        <w:rFonts w:ascii="Calibri" w:eastAsia="Calibri" w:hAnsi="Calibri" w:cs="Calibri"/>
        <w:color w:val="000000"/>
        <w:sz w:val="22"/>
        <w:szCs w:val="22"/>
      </w:rPr>
      <w:tab/>
      <w:t>v1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53322" w14:textId="77777777" w:rsidR="008427C1" w:rsidRDefault="009E0D8F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Sp. zn. 11.4.3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 xml:space="preserve"> PAGE 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6A439C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(celkem 7)</w:t>
    </w:r>
    <w:r>
      <w:rPr>
        <w:rFonts w:ascii="Calibri" w:eastAsia="Calibri" w:hAnsi="Calibri" w:cs="Calibri"/>
        <w:color w:val="000000"/>
        <w:sz w:val="22"/>
        <w:szCs w:val="22"/>
      </w:rPr>
      <w:tab/>
      <w:t>v1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11164" w14:textId="77777777" w:rsidR="008427C1" w:rsidRDefault="009E0D8F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Sp. zn. 11.4.3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 xml:space="preserve"> PAGE 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t>7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(celkem 7)</w:t>
    </w:r>
    <w:r>
      <w:rPr>
        <w:rFonts w:ascii="Calibri" w:eastAsia="Calibri" w:hAnsi="Calibri" w:cs="Calibri"/>
        <w:color w:val="000000"/>
        <w:sz w:val="22"/>
        <w:szCs w:val="22"/>
      </w:rPr>
      <w:tab/>
      <w:t>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96D67" w14:textId="77777777" w:rsidR="00711F43" w:rsidRDefault="00711F43">
      <w:r>
        <w:separator/>
      </w:r>
    </w:p>
  </w:footnote>
  <w:footnote w:type="continuationSeparator" w:id="0">
    <w:p w14:paraId="0EA0428D" w14:textId="77777777" w:rsidR="00711F43" w:rsidRDefault="0071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31E8B" w14:textId="30BB6C9D" w:rsidR="008427C1" w:rsidRDefault="009E0D8F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46A2B" w14:textId="77777777" w:rsidR="008427C1" w:rsidRDefault="009E0D8F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55E14280" wp14:editId="3DC1003E">
          <wp:extent cx="1743075" cy="466725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  <w:sz w:val="22"/>
        <w:szCs w:val="22"/>
      </w:rPr>
      <w:t>příloha č. 4</w:t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7B7"/>
    <w:multiLevelType w:val="multilevel"/>
    <w:tmpl w:val="399A29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6A92A08"/>
    <w:multiLevelType w:val="multilevel"/>
    <w:tmpl w:val="5DD650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0"/>
        <w:vertAlign w:val="baseline"/>
      </w:rPr>
    </w:lvl>
  </w:abstractNum>
  <w:abstractNum w:abstractNumId="2" w15:restartNumberingAfterBreak="0">
    <w:nsid w:val="139E499C"/>
    <w:multiLevelType w:val="multilevel"/>
    <w:tmpl w:val="5888C2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3" w15:restartNumberingAfterBreak="0">
    <w:nsid w:val="1AE86FA8"/>
    <w:multiLevelType w:val="multilevel"/>
    <w:tmpl w:val="8DCC5B88"/>
    <w:lvl w:ilvl="0">
      <w:start w:val="1"/>
      <w:numFmt w:val="lowerLetter"/>
      <w:lvlText w:val="%1."/>
      <w:lvlJc w:val="left"/>
      <w:pPr>
        <w:tabs>
          <w:tab w:val="num" w:pos="0"/>
        </w:tabs>
        <w:ind w:left="1065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5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25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5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85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5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4" w15:restartNumberingAfterBreak="0">
    <w:nsid w:val="1D9D4FCE"/>
    <w:multiLevelType w:val="multilevel"/>
    <w:tmpl w:val="A416562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</w:abstractNum>
  <w:abstractNum w:abstractNumId="5" w15:restartNumberingAfterBreak="0">
    <w:nsid w:val="29A147CF"/>
    <w:multiLevelType w:val="multilevel"/>
    <w:tmpl w:val="1CE27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35665240"/>
    <w:multiLevelType w:val="multilevel"/>
    <w:tmpl w:val="354E77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40193E96"/>
    <w:multiLevelType w:val="multilevel"/>
    <w:tmpl w:val="7EAE36B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b w:val="0"/>
        <w:i w:val="0"/>
        <w:position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</w:abstractNum>
  <w:abstractNum w:abstractNumId="8" w15:restartNumberingAfterBreak="0">
    <w:nsid w:val="411E5EE2"/>
    <w:multiLevelType w:val="multilevel"/>
    <w:tmpl w:val="99248DB6"/>
    <w:lvl w:ilvl="0">
      <w:start w:val="1"/>
      <w:numFmt w:val="lowerLetter"/>
      <w:lvlText w:val="%1."/>
      <w:lvlJc w:val="left"/>
      <w:pPr>
        <w:tabs>
          <w:tab w:val="num" w:pos="0"/>
        </w:tabs>
        <w:ind w:left="1065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5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25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5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85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5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9" w15:restartNumberingAfterBreak="0">
    <w:nsid w:val="46631222"/>
    <w:multiLevelType w:val="multilevel"/>
    <w:tmpl w:val="A17A64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69B7A71"/>
    <w:multiLevelType w:val="multilevel"/>
    <w:tmpl w:val="3344243C"/>
    <w:lvl w:ilvl="0">
      <w:start w:val="1"/>
      <w:numFmt w:val="upperRoman"/>
      <w:lvlText w:val="Článek %1."/>
      <w:lvlJc w:val="center"/>
      <w:pPr>
        <w:tabs>
          <w:tab w:val="num" w:pos="0"/>
        </w:tabs>
        <w:ind w:left="653" w:firstLine="340"/>
      </w:pPr>
      <w:rPr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  <w:rPr>
        <w:position w:val="0"/>
        <w:sz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92" w:hanging="425"/>
      </w:pPr>
      <w:rPr>
        <w:position w:val="0"/>
        <w:sz w:val="2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</w:abstractNum>
  <w:abstractNum w:abstractNumId="11" w15:restartNumberingAfterBreak="0">
    <w:nsid w:val="5EE25715"/>
    <w:multiLevelType w:val="multilevel"/>
    <w:tmpl w:val="FC446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62C454CF"/>
    <w:multiLevelType w:val="multilevel"/>
    <w:tmpl w:val="B45CBAD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</w:abstractNum>
  <w:abstractNum w:abstractNumId="13" w15:restartNumberingAfterBreak="0">
    <w:nsid w:val="6C677039"/>
    <w:multiLevelType w:val="multilevel"/>
    <w:tmpl w:val="2A9616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0"/>
        <w:vertAlign w:val="baseline"/>
      </w:rPr>
    </w:lvl>
  </w:abstractNum>
  <w:abstractNum w:abstractNumId="14" w15:restartNumberingAfterBreak="0">
    <w:nsid w:val="6E381E7A"/>
    <w:multiLevelType w:val="multilevel"/>
    <w:tmpl w:val="F17853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7244644B"/>
    <w:multiLevelType w:val="multilevel"/>
    <w:tmpl w:val="9FD8AE0E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position w:val="0"/>
        <w:sz w:val="20"/>
        <w:vertAlign w:val="baseline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4"/>
  </w:num>
  <w:num w:numId="5">
    <w:abstractNumId w:val="15"/>
  </w:num>
  <w:num w:numId="6">
    <w:abstractNumId w:val="13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C1"/>
    <w:rsid w:val="00036ADD"/>
    <w:rsid w:val="000A4B2D"/>
    <w:rsid w:val="000D5E9F"/>
    <w:rsid w:val="00166E37"/>
    <w:rsid w:val="0019397C"/>
    <w:rsid w:val="001F5FA6"/>
    <w:rsid w:val="002203E5"/>
    <w:rsid w:val="00281F3D"/>
    <w:rsid w:val="00335EF0"/>
    <w:rsid w:val="0036313A"/>
    <w:rsid w:val="003C3CE5"/>
    <w:rsid w:val="003D57C6"/>
    <w:rsid w:val="00421075"/>
    <w:rsid w:val="00422A96"/>
    <w:rsid w:val="0043299F"/>
    <w:rsid w:val="004B38E9"/>
    <w:rsid w:val="004D2D48"/>
    <w:rsid w:val="00501D9C"/>
    <w:rsid w:val="00537AE1"/>
    <w:rsid w:val="005B73A5"/>
    <w:rsid w:val="0060457C"/>
    <w:rsid w:val="00627040"/>
    <w:rsid w:val="00661298"/>
    <w:rsid w:val="006A439C"/>
    <w:rsid w:val="006B787A"/>
    <w:rsid w:val="006E49FF"/>
    <w:rsid w:val="00711F43"/>
    <w:rsid w:val="007538E8"/>
    <w:rsid w:val="00760DF9"/>
    <w:rsid w:val="00764B58"/>
    <w:rsid w:val="007A6BF1"/>
    <w:rsid w:val="00803C07"/>
    <w:rsid w:val="00804E6C"/>
    <w:rsid w:val="008427C1"/>
    <w:rsid w:val="00857E1B"/>
    <w:rsid w:val="008C7B82"/>
    <w:rsid w:val="0092238D"/>
    <w:rsid w:val="00932236"/>
    <w:rsid w:val="009E0D8F"/>
    <w:rsid w:val="009F0B22"/>
    <w:rsid w:val="00A37E51"/>
    <w:rsid w:val="00A421F7"/>
    <w:rsid w:val="00A713E8"/>
    <w:rsid w:val="00A73ADD"/>
    <w:rsid w:val="00BC12EF"/>
    <w:rsid w:val="00BC6FDF"/>
    <w:rsid w:val="00BF6FE0"/>
    <w:rsid w:val="00C00DD3"/>
    <w:rsid w:val="00C5734D"/>
    <w:rsid w:val="00CB00A5"/>
    <w:rsid w:val="00CB28A9"/>
    <w:rsid w:val="00CD1BE3"/>
    <w:rsid w:val="00D33EF7"/>
    <w:rsid w:val="00D9527D"/>
    <w:rsid w:val="00DD05AE"/>
    <w:rsid w:val="00E33FBD"/>
    <w:rsid w:val="00E47D5C"/>
    <w:rsid w:val="00E94DB1"/>
    <w:rsid w:val="00F26191"/>
    <w:rsid w:val="00F30F1E"/>
    <w:rsid w:val="00F55286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F093F"/>
  <w15:docId w15:val="{20D9D5B0-FF33-4382-8AFD-00F03CCC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E7585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015CE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qFormat/>
    <w:rsid w:val="005155D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E758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015CE"/>
    <w:rPr>
      <w:b/>
      <w:bCs/>
    </w:rPr>
  </w:style>
  <w:style w:type="paragraph" w:styleId="Odstavecseseznamem">
    <w:name w:val="List Paragraph"/>
    <w:basedOn w:val="Normln"/>
    <w:uiPriority w:val="34"/>
    <w:qFormat/>
    <w:rsid w:val="004150F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5155D1"/>
    <w:pPr>
      <w:tabs>
        <w:tab w:val="center" w:pos="4536"/>
        <w:tab w:val="right" w:pos="9072"/>
      </w:tabs>
    </w:pPr>
  </w:style>
  <w:style w:type="paragraph" w:styleId="Zhlav">
    <w:name w:val="head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3022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dc:description/>
  <cp:lastModifiedBy>Michálková Alena</cp:lastModifiedBy>
  <cp:revision>2</cp:revision>
  <dcterms:created xsi:type="dcterms:W3CDTF">2025-03-31T12:07:00Z</dcterms:created>
  <dcterms:modified xsi:type="dcterms:W3CDTF">2025-03-31T12:07:00Z</dcterms:modified>
  <dc:language>cs-CZ</dc:language>
</cp:coreProperties>
</file>